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F22497" w:rsidRDefault="00110CD7">
      <w:pPr>
        <w:jc w:val="center"/>
        <w:rPr>
          <w:rFonts w:ascii="Garamond" w:hAnsi="Garamond"/>
          <w:b/>
          <w:bCs/>
          <w:color w:val="auto"/>
        </w:rPr>
      </w:pPr>
      <w:r w:rsidRPr="00B534B5">
        <w:rPr>
          <w:rFonts w:ascii="Garamond" w:hAnsi="Garamond"/>
          <w:b/>
          <w:bCs/>
          <w:color w:val="auto"/>
        </w:rPr>
        <w:t>1977</w:t>
      </w:r>
      <w:r w:rsidR="009D1262">
        <w:rPr>
          <w:rFonts w:ascii="Garamond" w:hAnsi="Garamond"/>
          <w:b/>
          <w:bCs/>
          <w:color w:val="auto"/>
        </w:rPr>
        <w:t xml:space="preserve"> – 2016</w:t>
      </w:r>
    </w:p>
    <w:p w:rsidR="00B60419" w:rsidRDefault="00B60419">
      <w:pPr>
        <w:jc w:val="center"/>
        <w:rPr>
          <w:rFonts w:ascii="Garamond" w:hAnsi="Garamond"/>
          <w:b/>
          <w:bCs/>
          <w:color w:val="auto"/>
        </w:rPr>
      </w:pPr>
    </w:p>
    <w:p w:rsidR="007E04C5" w:rsidRDefault="009D1262">
      <w:pPr>
        <w:jc w:val="center"/>
        <w:rPr>
          <w:rFonts w:ascii="Garamond" w:hAnsi="Garamond"/>
          <w:b/>
          <w:bCs/>
          <w:color w:val="auto"/>
        </w:rPr>
      </w:pPr>
      <w:r>
        <w:rPr>
          <w:rFonts w:ascii="Garamond" w:hAnsi="Garamond"/>
          <w:b/>
          <w:bCs/>
          <w:color w:val="auto"/>
        </w:rPr>
        <w:t>2016</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Hungarian Asylum Law and Policy in 2015-2016. Securitization instead of Loyal Cooperation Forthcoming in Marcel Szabó et alii. (Eds.),  Hungarian Yearbook of International Law, 2016 Submitted 19</w:t>
      </w:r>
      <w:r w:rsidR="00E009E8">
        <w:rPr>
          <w:rFonts w:ascii="Garamond" w:hAnsi="Garamond"/>
          <w:bCs/>
          <w:lang w:val="en-GB"/>
        </w:rPr>
        <w:t xml:space="preserve"> </w:t>
      </w:r>
      <w:bookmarkStart w:id="0" w:name="_GoBack"/>
      <w:bookmarkEnd w:id="0"/>
      <w:r w:rsidRPr="009D1262">
        <w:rPr>
          <w:rFonts w:ascii="Garamond" w:hAnsi="Garamond"/>
          <w:bCs/>
          <w:lang w:val="en-GB"/>
        </w:rPr>
        <w:t>262 words long manuscript</w:t>
      </w:r>
    </w:p>
    <w:p w:rsidR="009D1262" w:rsidRPr="009D1262" w:rsidRDefault="009D1262" w:rsidP="009D1262">
      <w:pPr>
        <w:ind w:left="708" w:hanging="708"/>
        <w:rPr>
          <w:rFonts w:ascii="Garamond" w:hAnsi="Garamond"/>
          <w:bCs/>
          <w:lang w:val="en-GB"/>
        </w:rPr>
      </w:pPr>
      <w:r w:rsidRPr="009D1262">
        <w:rPr>
          <w:rFonts w:ascii="Garamond" w:hAnsi="Garamond"/>
          <w:bCs/>
          <w:lang w:val="en-GB"/>
        </w:rPr>
        <w:t>~  In whose interest? Shadows over the Hungarian Residency Bond Program  (with the contribution of Miklós Ligeti and József Péter Martin) A Report for the Investment Migration Council. 18 345 words, presently under review</w:t>
      </w:r>
    </w:p>
    <w:p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rsidR="009619D7" w:rsidRDefault="009619D7" w:rsidP="009D1262">
      <w:pPr>
        <w:ind w:left="708" w:hanging="708"/>
        <w:rPr>
          <w:rFonts w:ascii="Garamond" w:hAnsi="Garamond"/>
          <w:bCs/>
          <w:lang w:val="en-GB"/>
        </w:rPr>
      </w:pPr>
    </w:p>
    <w:p w:rsidR="009D1262" w:rsidRPr="009D1262" w:rsidRDefault="009D1262" w:rsidP="009D1262">
      <w:pPr>
        <w:jc w:val="center"/>
        <w:rPr>
          <w:rFonts w:ascii="Garamond" w:hAnsi="Garamond"/>
          <w:bCs/>
          <w:lang w:val="en-GB"/>
        </w:rPr>
      </w:pPr>
      <w:r>
        <w:rPr>
          <w:rFonts w:ascii="Garamond" w:hAnsi="Garamond"/>
          <w:b/>
          <w:bCs/>
          <w:color w:val="auto"/>
        </w:rPr>
        <w:t>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(With Kees Groenendijk) Hungary’s appeal against relocation to the CJEU: upfront attack or rear guard battle? EU Immigration and Asylum Law and Policy  http://eumigrationlawblog.eu/ Published on 16 December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Policy  http://eumigrationlawblog.eu/ Published on 4 November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rsidR="00D21209" w:rsidRDefault="00D21209" w:rsidP="00D21209">
      <w:pPr>
        <w:jc w:val="center"/>
        <w:rPr>
          <w:rFonts w:ascii="Garamond" w:hAnsi="Garamond"/>
          <w:b/>
          <w:lang w:val="en-GB"/>
        </w:rPr>
      </w:pPr>
      <w:r w:rsidRPr="0079683A">
        <w:rPr>
          <w:rFonts w:ascii="Garamond" w:hAnsi="Garamond"/>
          <w:b/>
          <w:lang w:val="en-GB"/>
        </w:rPr>
        <w:t>2014</w:t>
      </w:r>
    </w:p>
    <w:p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lastRenderedPageBreak/>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B534B5" w:rsidRPr="00B534B5" w:rsidRDefault="00500602" w:rsidP="009817BF">
      <w:pPr>
        <w:jc w:val="center"/>
        <w:rPr>
          <w:rFonts w:ascii="Garamond" w:hAnsi="Garamond"/>
          <w:bCs/>
          <w:color w:val="auto"/>
        </w:rPr>
      </w:pPr>
      <w:r w:rsidRPr="00B534B5">
        <w:rPr>
          <w:rFonts w:ascii="Garamond" w:hAnsi="Garamond"/>
          <w:b/>
          <w:bCs/>
          <w:color w:val="auto"/>
        </w:rPr>
        <w:t>2011</w:t>
      </w: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lastRenderedPageBreak/>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lastRenderedPageBreak/>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9817BF" w:rsidRDefault="009817BF" w:rsidP="009817BF">
      <w:pPr>
        <w:ind w:left="708" w:hanging="708"/>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Pr="00B534B5"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lastRenderedPageBreak/>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t>1988</w:t>
      </w:r>
    </w:p>
    <w:p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oSpacing"/>
        <w:ind w:left="708" w:hanging="708"/>
        <w:rPr>
          <w:rStyle w:val="CharacterStyle1"/>
          <w:rFonts w:ascii="Garamond" w:hAnsi="Garamond"/>
          <w:i/>
          <w:iCs/>
        </w:rPr>
      </w:pPr>
      <w:r w:rsidRPr="00B534B5">
        <w:rPr>
          <w:rFonts w:ascii="Garamond" w:hAnsi="Garamond"/>
          <w:sz w:val="24"/>
          <w:szCs w:val="24"/>
        </w:rPr>
        <w:lastRenderedPageBreak/>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oSpacing"/>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Pr="004711FF"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oSpacing"/>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15" w:rsidRDefault="00ED0D15" w:rsidP="00AD4D5E">
      <w:r>
        <w:separator/>
      </w:r>
    </w:p>
  </w:endnote>
  <w:endnote w:type="continuationSeparator" w:id="0">
    <w:p w:rsidR="00ED0D15" w:rsidRDefault="00ED0D15"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E" w:rsidRPr="00AD4D5E" w:rsidRDefault="00DE0465">
    <w:pPr>
      <w:pStyle w:val="Footer"/>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E009E8">
      <w:rPr>
        <w:rFonts w:ascii="Garamond" w:hAnsi="Garamond"/>
        <w:noProof/>
        <w:sz w:val="20"/>
        <w:szCs w:val="20"/>
      </w:rPr>
      <w:t>10</w:t>
    </w:r>
    <w:r w:rsidRPr="00AD4D5E">
      <w:rPr>
        <w:rFonts w:ascii="Garamond" w:hAnsi="Garamond"/>
        <w:sz w:val="20"/>
        <w:szCs w:val="20"/>
      </w:rPr>
      <w:fldChar w:fldCharType="end"/>
    </w:r>
  </w:p>
  <w:p w:rsidR="00AD4D5E" w:rsidRDefault="00AD4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15" w:rsidRDefault="00ED0D15" w:rsidP="00AD4D5E">
      <w:r>
        <w:separator/>
      </w:r>
    </w:p>
  </w:footnote>
  <w:footnote w:type="continuationSeparator" w:id="0">
    <w:p w:rsidR="00ED0D15" w:rsidRDefault="00ED0D15"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F"/>
    <w:rsid w:val="00073823"/>
    <w:rsid w:val="000758FE"/>
    <w:rsid w:val="000D1389"/>
    <w:rsid w:val="000D77FA"/>
    <w:rsid w:val="001009C9"/>
    <w:rsid w:val="00110CD7"/>
    <w:rsid w:val="001204EF"/>
    <w:rsid w:val="001358E1"/>
    <w:rsid w:val="0018049E"/>
    <w:rsid w:val="001C4D1B"/>
    <w:rsid w:val="0020236E"/>
    <w:rsid w:val="002506BB"/>
    <w:rsid w:val="00264123"/>
    <w:rsid w:val="00264BD2"/>
    <w:rsid w:val="002722FF"/>
    <w:rsid w:val="002868B8"/>
    <w:rsid w:val="002A7FF2"/>
    <w:rsid w:val="002B1A8B"/>
    <w:rsid w:val="002B324F"/>
    <w:rsid w:val="002D31B9"/>
    <w:rsid w:val="003003F2"/>
    <w:rsid w:val="0034322E"/>
    <w:rsid w:val="003808E2"/>
    <w:rsid w:val="003A18DA"/>
    <w:rsid w:val="003C1BCD"/>
    <w:rsid w:val="00413261"/>
    <w:rsid w:val="00431C77"/>
    <w:rsid w:val="0043235E"/>
    <w:rsid w:val="0046799D"/>
    <w:rsid w:val="004711FF"/>
    <w:rsid w:val="004E75BC"/>
    <w:rsid w:val="00500602"/>
    <w:rsid w:val="005224FF"/>
    <w:rsid w:val="00545E36"/>
    <w:rsid w:val="00546079"/>
    <w:rsid w:val="00583DA3"/>
    <w:rsid w:val="005B3919"/>
    <w:rsid w:val="005D1C6A"/>
    <w:rsid w:val="005E0182"/>
    <w:rsid w:val="005E44AC"/>
    <w:rsid w:val="00662720"/>
    <w:rsid w:val="00694D9A"/>
    <w:rsid w:val="006A1FC9"/>
    <w:rsid w:val="006C3CC2"/>
    <w:rsid w:val="006E0E44"/>
    <w:rsid w:val="006F7775"/>
    <w:rsid w:val="00707D62"/>
    <w:rsid w:val="007B1BC1"/>
    <w:rsid w:val="007E04C5"/>
    <w:rsid w:val="007E2189"/>
    <w:rsid w:val="0083611E"/>
    <w:rsid w:val="0084310D"/>
    <w:rsid w:val="00890809"/>
    <w:rsid w:val="0089497E"/>
    <w:rsid w:val="008C3D2B"/>
    <w:rsid w:val="008E4752"/>
    <w:rsid w:val="008F49EA"/>
    <w:rsid w:val="009067F7"/>
    <w:rsid w:val="00931B07"/>
    <w:rsid w:val="00945C50"/>
    <w:rsid w:val="009619D7"/>
    <w:rsid w:val="00975F98"/>
    <w:rsid w:val="009817BF"/>
    <w:rsid w:val="009A1DAE"/>
    <w:rsid w:val="009D1262"/>
    <w:rsid w:val="009E6157"/>
    <w:rsid w:val="00A10973"/>
    <w:rsid w:val="00A16780"/>
    <w:rsid w:val="00A72C0A"/>
    <w:rsid w:val="00AD4D5E"/>
    <w:rsid w:val="00B16840"/>
    <w:rsid w:val="00B534B5"/>
    <w:rsid w:val="00B60419"/>
    <w:rsid w:val="00B638D2"/>
    <w:rsid w:val="00B76F62"/>
    <w:rsid w:val="00C4473F"/>
    <w:rsid w:val="00C578C0"/>
    <w:rsid w:val="00C84264"/>
    <w:rsid w:val="00C95933"/>
    <w:rsid w:val="00CB53E2"/>
    <w:rsid w:val="00CD0B0B"/>
    <w:rsid w:val="00CF5005"/>
    <w:rsid w:val="00CF5514"/>
    <w:rsid w:val="00D06FAD"/>
    <w:rsid w:val="00D10209"/>
    <w:rsid w:val="00D21209"/>
    <w:rsid w:val="00D21EF4"/>
    <w:rsid w:val="00D25250"/>
    <w:rsid w:val="00D52B65"/>
    <w:rsid w:val="00D65CA0"/>
    <w:rsid w:val="00D702FF"/>
    <w:rsid w:val="00D82898"/>
    <w:rsid w:val="00D85F78"/>
    <w:rsid w:val="00DB7D99"/>
    <w:rsid w:val="00DE0465"/>
    <w:rsid w:val="00E009E8"/>
    <w:rsid w:val="00E075D3"/>
    <w:rsid w:val="00E25D8B"/>
    <w:rsid w:val="00E93BF3"/>
    <w:rsid w:val="00ED0D15"/>
    <w:rsid w:val="00EF5605"/>
    <w:rsid w:val="00F06EC7"/>
    <w:rsid w:val="00F10491"/>
    <w:rsid w:val="00F22497"/>
    <w:rsid w:val="00F75BA2"/>
    <w:rsid w:val="00F93FA9"/>
    <w:rsid w:val="00FE001B"/>
    <w:rsid w:val="00FE3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79"/>
    <w:rPr>
      <w:color w:val="000000"/>
      <w:sz w:val="24"/>
      <w:szCs w:val="24"/>
    </w:rPr>
  </w:style>
  <w:style w:type="paragraph" w:styleId="Heading1">
    <w:name w:val="heading 1"/>
    <w:basedOn w:val="Normal"/>
    <w:next w:val="Normal"/>
    <w:link w:val="Heading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079"/>
    <w:rPr>
      <w:color w:val="339999"/>
      <w:u w:val="single"/>
    </w:rPr>
  </w:style>
  <w:style w:type="character" w:styleId="FollowedHyperlink">
    <w:name w:val="FollowedHyperlink"/>
    <w:basedOn w:val="DefaultParagraphFont"/>
    <w:uiPriority w:val="99"/>
    <w:semiHidden/>
    <w:unhideWhenUsed/>
    <w:rsid w:val="00546079"/>
    <w:rPr>
      <w:color w:val="999999"/>
      <w:u w:val="single"/>
    </w:rPr>
  </w:style>
  <w:style w:type="character" w:customStyle="1" w:styleId="Heading1Char">
    <w:name w:val="Heading 1 Char"/>
    <w:basedOn w:val="DefaultParagraphFont"/>
    <w:link w:val="Heading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oSpacing">
    <w:name w:val="No Spacing"/>
    <w:uiPriority w:val="1"/>
    <w:qFormat/>
    <w:rsid w:val="009E6157"/>
    <w:pPr>
      <w:widowControl w:val="0"/>
      <w:autoSpaceDE w:val="0"/>
      <w:autoSpaceDN w:val="0"/>
      <w:adjustRightInd w:val="0"/>
    </w:pPr>
  </w:style>
  <w:style w:type="paragraph" w:styleId="Header">
    <w:name w:val="header"/>
    <w:basedOn w:val="Normal"/>
    <w:link w:val="HeaderChar"/>
    <w:uiPriority w:val="99"/>
    <w:unhideWhenUsed/>
    <w:rsid w:val="00AD4D5E"/>
    <w:pPr>
      <w:tabs>
        <w:tab w:val="center" w:pos="4536"/>
        <w:tab w:val="right" w:pos="9072"/>
      </w:tabs>
    </w:pPr>
  </w:style>
  <w:style w:type="character" w:customStyle="1" w:styleId="HeaderChar">
    <w:name w:val="Header Char"/>
    <w:basedOn w:val="DefaultParagraphFont"/>
    <w:link w:val="Header"/>
    <w:uiPriority w:val="99"/>
    <w:rsid w:val="00AD4D5E"/>
    <w:rPr>
      <w:color w:val="000000"/>
      <w:sz w:val="24"/>
      <w:szCs w:val="24"/>
    </w:rPr>
  </w:style>
  <w:style w:type="paragraph" w:styleId="Footer">
    <w:name w:val="footer"/>
    <w:basedOn w:val="Normal"/>
    <w:link w:val="FooterChar"/>
    <w:uiPriority w:val="99"/>
    <w:unhideWhenUsed/>
    <w:rsid w:val="00AD4D5E"/>
    <w:pPr>
      <w:tabs>
        <w:tab w:val="center" w:pos="4536"/>
        <w:tab w:val="right" w:pos="9072"/>
      </w:tabs>
    </w:pPr>
  </w:style>
  <w:style w:type="character" w:customStyle="1" w:styleId="FooterChar">
    <w:name w:val="Footer Char"/>
    <w:basedOn w:val="DefaultParagraphFont"/>
    <w:link w:val="Footer"/>
    <w:uiPriority w:val="99"/>
    <w:rsid w:val="00AD4D5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335">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676178975">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3666</Words>
  <Characters>25297</Characters>
  <Application>Microsoft Office Word</Application>
  <DocSecurity>0</DocSecurity>
  <Lines>210</Lines>
  <Paragraphs>57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Bibliográfia</vt:lpstr>
      <vt:lpstr>Bibliográfia</vt:lpstr>
    </vt:vector>
  </TitlesOfParts>
  <Company>TOSHIBA</Company>
  <LinksUpToDate>false</LinksUpToDate>
  <CharactersWithSpaces>28906</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B Nagy</cp:lastModifiedBy>
  <cp:revision>3</cp:revision>
  <cp:lastPrinted>2011-12-03T20:56:00Z</cp:lastPrinted>
  <dcterms:created xsi:type="dcterms:W3CDTF">2016-08-23T10:19:00Z</dcterms:created>
  <dcterms:modified xsi:type="dcterms:W3CDTF">2016-08-23T10:19:00Z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