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rsidR="00F22497" w:rsidRDefault="00F22497">
      <w:pPr>
        <w:jc w:val="center"/>
        <w:rPr>
          <w:rFonts w:ascii="Garamond" w:hAnsi="Garamond"/>
          <w:b/>
          <w:bCs/>
          <w:color w:val="auto"/>
        </w:rPr>
      </w:pPr>
      <w:r w:rsidRPr="00B534B5">
        <w:rPr>
          <w:rFonts w:ascii="Garamond" w:hAnsi="Garamond"/>
          <w:b/>
          <w:bCs/>
          <w:color w:val="auto"/>
        </w:rPr>
        <w:t>Nagy Boldizsár szakmai közleményei</w:t>
      </w:r>
    </w:p>
    <w:p w:rsidR="00F22497" w:rsidRPr="00B534B5" w:rsidRDefault="00F22497">
      <w:pPr>
        <w:jc w:val="center"/>
        <w:rPr>
          <w:rFonts w:ascii="Garamond" w:hAnsi="Garamond"/>
          <w:color w:val="auto"/>
        </w:rPr>
      </w:pPr>
      <w:r w:rsidRPr="00B534B5">
        <w:rPr>
          <w:rFonts w:ascii="Garamond" w:hAnsi="Garamond"/>
          <w:b/>
          <w:bCs/>
          <w:color w:val="auto"/>
        </w:rPr>
        <w:t> </w:t>
      </w:r>
    </w:p>
    <w:p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rsidR="00741755" w:rsidRDefault="00110CD7" w:rsidP="001950AE">
      <w:pPr>
        <w:jc w:val="center"/>
        <w:rPr>
          <w:rFonts w:ascii="Garamond" w:hAnsi="Garamond"/>
          <w:b/>
          <w:bCs/>
          <w:color w:val="auto"/>
        </w:rPr>
      </w:pPr>
      <w:r w:rsidRPr="00B534B5">
        <w:rPr>
          <w:rFonts w:ascii="Garamond" w:hAnsi="Garamond"/>
          <w:b/>
          <w:bCs/>
          <w:color w:val="auto"/>
        </w:rPr>
        <w:t>1977</w:t>
      </w:r>
      <w:r w:rsidR="00924F99">
        <w:rPr>
          <w:rFonts w:ascii="Garamond" w:hAnsi="Garamond"/>
          <w:b/>
          <w:bCs/>
          <w:color w:val="auto"/>
        </w:rPr>
        <w:t xml:space="preserve"> – 20</w:t>
      </w:r>
      <w:r w:rsidR="00DB3DA7">
        <w:rPr>
          <w:rFonts w:ascii="Garamond" w:hAnsi="Garamond"/>
          <w:b/>
          <w:bCs/>
          <w:color w:val="auto"/>
        </w:rPr>
        <w:t>20</w:t>
      </w:r>
    </w:p>
    <w:p w:rsidR="00DB3DA7" w:rsidRDefault="00DB3DA7" w:rsidP="001950AE">
      <w:pPr>
        <w:jc w:val="center"/>
        <w:rPr>
          <w:rFonts w:ascii="Garamond" w:hAnsi="Garamond"/>
          <w:b/>
          <w:bCs/>
          <w:color w:val="auto"/>
        </w:rPr>
      </w:pPr>
    </w:p>
    <w:p w:rsidR="00DB3DA7" w:rsidRDefault="00DB3DA7" w:rsidP="001950AE">
      <w:pPr>
        <w:jc w:val="center"/>
        <w:rPr>
          <w:rFonts w:ascii="Garamond" w:hAnsi="Garamond"/>
          <w:b/>
          <w:bCs/>
          <w:color w:val="auto"/>
        </w:rPr>
      </w:pPr>
      <w:r>
        <w:rPr>
          <w:rFonts w:ascii="Garamond" w:hAnsi="Garamond"/>
          <w:b/>
          <w:bCs/>
          <w:color w:val="auto"/>
        </w:rPr>
        <w:t>2020</w:t>
      </w:r>
    </w:p>
    <w:p w:rsidR="00DA7C37" w:rsidRDefault="00DA7C37" w:rsidP="001950AE">
      <w:pPr>
        <w:jc w:val="center"/>
        <w:rPr>
          <w:rFonts w:ascii="Garamond" w:hAnsi="Garamond"/>
          <w:b/>
          <w:bCs/>
          <w:color w:val="auto"/>
        </w:rPr>
      </w:pPr>
    </w:p>
    <w:p w:rsidR="001950AE" w:rsidRDefault="001950AE" w:rsidP="001950AE">
      <w:pPr>
        <w:jc w:val="center"/>
        <w:rPr>
          <w:rFonts w:ascii="Garamond" w:hAnsi="Garamond"/>
          <w:b/>
          <w:bCs/>
          <w:color w:val="auto"/>
        </w:rPr>
      </w:pPr>
    </w:p>
    <w:p w:rsidR="001950AE" w:rsidRPr="00672716" w:rsidRDefault="001950AE" w:rsidP="001950AE">
      <w:pPr>
        <w:ind w:left="708" w:hanging="708"/>
        <w:rPr>
          <w:rFonts w:ascii="Garamond" w:hAnsi="Garamond"/>
          <w:bCs/>
          <w:lang w:val="en-GB"/>
        </w:rPr>
      </w:pPr>
      <w:r w:rsidRPr="00672716">
        <w:rPr>
          <w:rFonts w:ascii="Garamond" w:hAnsi="Garamond"/>
          <w:bCs/>
          <w:lang w:val="en-GB"/>
        </w:rPr>
        <w:t>~ (with Eszter Polgári) Compliance in Hungary, in: Grote, Rainer; Morales Antoniazzi, Mariela; Paris, Davide (eds) Edward Elgar Reasearch Handbook on Compliance in International Human Rights, Edward Elgar, Cheltenham, forthcoming</w:t>
      </w:r>
    </w:p>
    <w:p w:rsidR="001950AE" w:rsidRDefault="001950AE" w:rsidP="001950AE">
      <w:pPr>
        <w:ind w:left="708" w:hanging="708"/>
        <w:rPr>
          <w:rFonts w:ascii="Garamond" w:hAnsi="Garamond"/>
          <w:bCs/>
          <w:lang w:val="en-GB"/>
        </w:rPr>
      </w:pPr>
      <w:r w:rsidRPr="00672716">
        <w:rPr>
          <w:rFonts w:ascii="Garamond" w:hAnsi="Garamond"/>
          <w:bCs/>
          <w:lang w:val="en-GB"/>
        </w:rPr>
        <w:t xml:space="preserve">~ The ICJ Judgment in the Gabčíkovo-Nagymaros Project case and its aftermath: success or failure? in Benatar, Marco; Meshel; Tamar (eds) </w:t>
      </w:r>
      <w:r w:rsidRPr="00672716">
        <w:rPr>
          <w:rFonts w:ascii="Garamond" w:hAnsi="Garamond"/>
          <w:i/>
          <w:lang w:val="en-GB"/>
        </w:rPr>
        <w:t>A Bridge over Troubled Waters: Dispute Resolution in the Law of International Watercourses and the Law of the Sea</w:t>
      </w:r>
      <w:r w:rsidRPr="00672716">
        <w:rPr>
          <w:lang w:val="en-GB"/>
        </w:rPr>
        <w:t xml:space="preserve"> </w:t>
      </w:r>
      <w:r w:rsidRPr="00672716">
        <w:rPr>
          <w:rFonts w:ascii="Garamond" w:hAnsi="Garamond"/>
          <w:bCs/>
          <w:lang w:val="en-GB"/>
        </w:rPr>
        <w:t xml:space="preserve">Brill/Nijhoff </w:t>
      </w:r>
      <w:r>
        <w:rPr>
          <w:rFonts w:ascii="Garamond" w:hAnsi="Garamond"/>
          <w:bCs/>
          <w:lang w:val="en-GB"/>
        </w:rPr>
        <w:t>f</w:t>
      </w:r>
      <w:r w:rsidRPr="00672716">
        <w:rPr>
          <w:rFonts w:ascii="Garamond" w:hAnsi="Garamond"/>
          <w:bCs/>
          <w:lang w:val="en-GB"/>
        </w:rPr>
        <w:t>orthcoming</w:t>
      </w:r>
    </w:p>
    <w:p w:rsidR="00312885" w:rsidRDefault="00312885" w:rsidP="00312885">
      <w:pPr>
        <w:ind w:left="2124" w:hanging="2124"/>
        <w:rPr>
          <w:rFonts w:ascii="Garamond" w:hAnsi="Garamond"/>
          <w:bCs/>
          <w:lang w:val="en-GB"/>
        </w:rPr>
      </w:pPr>
      <w:r w:rsidRPr="00312885">
        <w:rPr>
          <w:rFonts w:ascii="Garamond" w:hAnsi="Garamond"/>
          <w:bCs/>
          <w:lang w:val="en-GB"/>
        </w:rPr>
        <w:t>~</w:t>
      </w:r>
      <w:r>
        <w:rPr>
          <w:rFonts w:ascii="Garamond" w:hAnsi="Garamond"/>
          <w:bCs/>
          <w:lang w:val="en-GB"/>
        </w:rPr>
        <w:t xml:space="preserve"> </w:t>
      </w:r>
      <w:r w:rsidRPr="00312885">
        <w:rPr>
          <w:rFonts w:ascii="Garamond" w:hAnsi="Garamond"/>
          <w:bCs/>
          <w:lang w:val="en-GB"/>
        </w:rPr>
        <w:t>A külföldiek kitiltásáról. Az EU és a bunker</w:t>
      </w:r>
      <w:r>
        <w:rPr>
          <w:rFonts w:ascii="Garamond" w:hAnsi="Garamond"/>
          <w:bCs/>
          <w:lang w:val="en-GB"/>
        </w:rPr>
        <w:t xml:space="preserve">, </w:t>
      </w:r>
      <w:r w:rsidRPr="00312885">
        <w:rPr>
          <w:rFonts w:ascii="Garamond" w:hAnsi="Garamond"/>
          <w:bCs/>
          <w:i/>
          <w:iCs/>
          <w:lang w:val="en-GB"/>
        </w:rPr>
        <w:t>Élet</w:t>
      </w:r>
      <w:r w:rsidRPr="00312885">
        <w:rPr>
          <w:rFonts w:ascii="Garamond" w:hAnsi="Garamond"/>
          <w:bCs/>
          <w:i/>
          <w:iCs/>
          <w:lang w:val="en-GB"/>
        </w:rPr>
        <w:t>- és Irodalom</w:t>
      </w:r>
      <w:r w:rsidRPr="00312885">
        <w:rPr>
          <w:rFonts w:ascii="Garamond" w:hAnsi="Garamond"/>
          <w:bCs/>
          <w:lang w:val="en-GB"/>
        </w:rPr>
        <w:t>, LXIV. évf. 14. szám, 2020.</w:t>
      </w:r>
      <w:r>
        <w:rPr>
          <w:rFonts w:ascii="Garamond" w:hAnsi="Garamond"/>
          <w:bCs/>
          <w:lang w:val="en-GB"/>
        </w:rPr>
        <w:t xml:space="preserve"> </w:t>
      </w:r>
      <w:r w:rsidRPr="00312885">
        <w:rPr>
          <w:rFonts w:ascii="Garamond" w:hAnsi="Garamond"/>
          <w:bCs/>
          <w:lang w:val="en-GB"/>
        </w:rPr>
        <w:t>április 3</w:t>
      </w:r>
      <w:r>
        <w:rPr>
          <w:rFonts w:ascii="Garamond" w:hAnsi="Garamond"/>
          <w:bCs/>
          <w:lang w:val="en-GB"/>
        </w:rPr>
        <w:t>.</w:t>
      </w:r>
      <w:bookmarkStart w:id="0" w:name="_GoBack"/>
      <w:bookmarkEnd w:id="0"/>
    </w:p>
    <w:p w:rsidR="00DB3DA7" w:rsidRDefault="00DB3DA7" w:rsidP="001950AE">
      <w:pPr>
        <w:ind w:left="708" w:hanging="708"/>
        <w:rPr>
          <w:rFonts w:ascii="Garamond" w:hAnsi="Garamond"/>
          <w:bCs/>
          <w:lang w:val="en-GB"/>
        </w:rPr>
      </w:pPr>
    </w:p>
    <w:p w:rsidR="00DB3DA7" w:rsidRDefault="00DB3DA7" w:rsidP="00DB3DA7">
      <w:pPr>
        <w:ind w:left="708" w:hanging="708"/>
        <w:jc w:val="center"/>
        <w:rPr>
          <w:rFonts w:ascii="Garamond" w:hAnsi="Garamond"/>
          <w:b/>
          <w:lang w:val="en-GB"/>
        </w:rPr>
      </w:pPr>
      <w:r w:rsidRPr="00DB3DA7">
        <w:rPr>
          <w:rFonts w:ascii="Garamond" w:hAnsi="Garamond"/>
          <w:b/>
          <w:lang w:val="en-GB"/>
        </w:rPr>
        <w:t>2019</w:t>
      </w:r>
    </w:p>
    <w:p w:rsidR="00DB3DA7" w:rsidRPr="00DB3DA7" w:rsidRDefault="00DB3DA7" w:rsidP="00DB3DA7">
      <w:pPr>
        <w:ind w:left="708" w:hanging="708"/>
        <w:rPr>
          <w:rFonts w:ascii="Garamond" w:hAnsi="Garamond"/>
          <w:bCs/>
          <w:lang w:val="en-GB"/>
        </w:rPr>
      </w:pPr>
      <w:r w:rsidRPr="00DB3DA7">
        <w:rPr>
          <w:rFonts w:ascii="Garamond" w:hAnsi="Garamond"/>
          <w:bCs/>
          <w:lang w:val="en-GB"/>
        </w:rPr>
        <w:t>~</w:t>
      </w:r>
      <w:r>
        <w:rPr>
          <w:rFonts w:ascii="Garamond" w:hAnsi="Garamond"/>
          <w:bCs/>
          <w:lang w:val="en-GB"/>
        </w:rPr>
        <w:t xml:space="preserve"> Magyarország bírái előtt. menekültügyek az Emberi Jogok Európai Bíróságán</w:t>
      </w:r>
      <w:r w:rsidR="00FE6BA6">
        <w:rPr>
          <w:rFonts w:ascii="Garamond" w:hAnsi="Garamond"/>
          <w:bCs/>
          <w:lang w:val="en-GB"/>
        </w:rPr>
        <w:t>, az Európai Unió bíróságán és más fórumokon, Állam- és Jogtudomány, vol. LX 2019/4, 120 - 134</w:t>
      </w:r>
    </w:p>
    <w:p w:rsidR="00DB3DA7" w:rsidRPr="00DB3DA7" w:rsidRDefault="00DB3DA7" w:rsidP="00DB3DA7">
      <w:pPr>
        <w:ind w:left="708" w:hanging="708"/>
        <w:rPr>
          <w:rFonts w:ascii="Garamond" w:hAnsi="Garamond"/>
          <w:bCs/>
          <w:lang w:val="en-GB"/>
        </w:rPr>
      </w:pPr>
      <w:r w:rsidRPr="00DB3DA7">
        <w:rPr>
          <w:rFonts w:ascii="Garamond" w:hAnsi="Garamond"/>
          <w:bCs/>
          <w:lang w:val="en-GB"/>
        </w:rPr>
        <w:t>~</w:t>
      </w:r>
      <w:r>
        <w:rPr>
          <w:rFonts w:ascii="Garamond" w:hAnsi="Garamond"/>
          <w:bCs/>
          <w:lang w:val="en-GB"/>
        </w:rPr>
        <w:t xml:space="preserve"> Hungary in front of her judges in Paul Minderhoud, Sandra Mantu and Karin Zwaan (eds): Caught in between borders cizizens, migrants, humans Liber Amicorum in honour of  prog. dr. Elspeth Guild Tilburg, Wolf Publishers,  251 - 260</w:t>
      </w:r>
    </w:p>
    <w:p w:rsidR="00DB3DA7" w:rsidRPr="00672716" w:rsidRDefault="00DB3DA7" w:rsidP="00DB3DA7">
      <w:pPr>
        <w:ind w:left="708" w:hanging="708"/>
        <w:rPr>
          <w:rFonts w:ascii="Garamond" w:hAnsi="Garamond"/>
          <w:bCs/>
          <w:lang w:val="en-GB"/>
        </w:rPr>
      </w:pPr>
      <w:r w:rsidRPr="00672716">
        <w:rPr>
          <w:rFonts w:ascii="Garamond" w:hAnsi="Garamond"/>
          <w:bCs/>
          <w:lang w:val="en-GB"/>
        </w:rPr>
        <w:t>~ From Reluctance to Total Denial. Asylum Policy in Hungary 2015-2018</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Vladislava Stoyanova and Eleni Karageorgiou (eds) </w:t>
      </w:r>
      <w:r>
        <w:rPr>
          <w:rFonts w:ascii="Garamond" w:hAnsi="Garamond"/>
          <w:bCs/>
          <w:lang w:val="en-GB"/>
        </w:rPr>
        <w:t>T</w:t>
      </w:r>
      <w:r w:rsidRPr="00672716">
        <w:rPr>
          <w:rFonts w:ascii="Garamond" w:hAnsi="Garamond"/>
          <w:bCs/>
          <w:lang w:val="en-GB"/>
        </w:rPr>
        <w:t xml:space="preserve">he New Asylum and Transit Countries in Europe During and in the Aftermath of the 2015/2016 Crisis,  Brill, </w:t>
      </w:r>
      <w:r>
        <w:rPr>
          <w:rFonts w:ascii="Garamond" w:hAnsi="Garamond"/>
          <w:bCs/>
          <w:lang w:val="en-GB"/>
        </w:rPr>
        <w:t>2019, 17 - 65</w:t>
      </w:r>
    </w:p>
    <w:p w:rsidR="00DB3DA7" w:rsidRPr="00672716" w:rsidRDefault="00DB3DA7" w:rsidP="00DB3DA7">
      <w:pPr>
        <w:ind w:left="708" w:hanging="708"/>
        <w:rPr>
          <w:rFonts w:ascii="Garamond" w:hAnsi="Garamond"/>
          <w:bCs/>
          <w:lang w:val="en-GB"/>
        </w:rPr>
      </w:pPr>
      <w:r w:rsidRPr="00741755">
        <w:rPr>
          <w:rFonts w:ascii="Garamond" w:hAnsi="Garamond"/>
          <w:bCs/>
          <w:lang w:val="en-GB"/>
        </w:rPr>
        <w:t>~</w:t>
      </w:r>
      <w:r>
        <w:rPr>
          <w:rFonts w:ascii="Garamond" w:hAnsi="Garamond"/>
          <w:bCs/>
          <w:lang w:val="en-GB"/>
        </w:rPr>
        <w:t xml:space="preserve"> Between hope and dispair  Guest editorial  European Society of International Law newsletter, June 2019 </w:t>
      </w:r>
      <w:hyperlink r:id="rId6" w:anchor="guest_editorial" w:history="1">
        <w:r w:rsidRPr="001950AE">
          <w:rPr>
            <w:rStyle w:val="Hiperhivatkozs"/>
            <w:rFonts w:ascii="Garamond" w:hAnsi="Garamond"/>
            <w:bCs/>
          </w:rPr>
          <w:t>https://esil-sedi.eu/esil-newsletter-june-2019/#guest_editorial</w:t>
        </w:r>
      </w:hyperlink>
      <w:r>
        <w:rPr>
          <w:rFonts w:ascii="Garamond" w:hAnsi="Garamond"/>
          <w:bCs/>
          <w:lang w:val="en-GB"/>
        </w:rPr>
        <w:t xml:space="preserve"> </w:t>
      </w:r>
    </w:p>
    <w:p w:rsidR="00DB3DA7" w:rsidRDefault="00DB3DA7" w:rsidP="00DB3DA7">
      <w:pPr>
        <w:ind w:left="708" w:hanging="708"/>
        <w:rPr>
          <w:rFonts w:ascii="Garamond" w:hAnsi="Garamond"/>
          <w:bCs/>
        </w:rPr>
      </w:pPr>
      <w:r w:rsidRPr="001950AE">
        <w:rPr>
          <w:rFonts w:ascii="Garamond" w:hAnsi="Garamond"/>
          <w:bCs/>
          <w:lang w:val="en-GB"/>
        </w:rPr>
        <w:t>~</w:t>
      </w:r>
      <w:r>
        <w:rPr>
          <w:rFonts w:ascii="Garamond" w:hAnsi="Garamond"/>
          <w:bCs/>
          <w:lang w:val="en-GB"/>
        </w:rPr>
        <w:t xml:space="preserve"> </w:t>
      </w:r>
      <w:r w:rsidRPr="001950AE">
        <w:rPr>
          <w:rFonts w:ascii="Garamond" w:hAnsi="Garamond"/>
          <w:bCs/>
        </w:rPr>
        <w:t>Objective 12: Strengthen certainty and predictability in migration procedures for appropriate screening,</w:t>
      </w:r>
      <w:r>
        <w:rPr>
          <w:rFonts w:ascii="Garamond" w:hAnsi="Garamond"/>
          <w:bCs/>
        </w:rPr>
        <w:t xml:space="preserve"> </w:t>
      </w:r>
      <w:r w:rsidRPr="001950AE">
        <w:rPr>
          <w:rFonts w:ascii="Garamond" w:hAnsi="Garamond"/>
          <w:bCs/>
        </w:rPr>
        <w:t>assessment and referral</w:t>
      </w:r>
      <w:r>
        <w:rPr>
          <w:rFonts w:ascii="Garamond" w:hAnsi="Garamond"/>
          <w:bCs/>
        </w:rPr>
        <w:t xml:space="preserve">  in: </w:t>
      </w:r>
      <w:r w:rsidRPr="001950AE">
        <w:rPr>
          <w:rFonts w:ascii="Garamond" w:hAnsi="Garamond"/>
          <w:bCs/>
        </w:rPr>
        <w:t xml:space="preserve">Elspeth Guild </w:t>
      </w:r>
      <w:r>
        <w:rPr>
          <w:rFonts w:ascii="Garamond" w:hAnsi="Garamond"/>
          <w:bCs/>
        </w:rPr>
        <w:t>&amp;</w:t>
      </w:r>
      <w:r w:rsidRPr="001950AE">
        <w:rPr>
          <w:rFonts w:ascii="Garamond" w:hAnsi="Garamond"/>
          <w:bCs/>
        </w:rPr>
        <w:t xml:space="preserve">Tugba Basaran </w:t>
      </w:r>
      <w:r>
        <w:rPr>
          <w:rFonts w:ascii="Garamond" w:hAnsi="Garamond"/>
          <w:bCs/>
        </w:rPr>
        <w:t xml:space="preserve">(eds) </w:t>
      </w:r>
      <w:r w:rsidRPr="001950AE">
        <w:rPr>
          <w:rFonts w:ascii="Garamond" w:hAnsi="Garamond"/>
          <w:bCs/>
          <w:i/>
        </w:rPr>
        <w:t>The UN’s Global Compact for Safe, Orderly and</w:t>
      </w:r>
      <w:r>
        <w:rPr>
          <w:rFonts w:ascii="Garamond" w:hAnsi="Garamond"/>
          <w:bCs/>
          <w:i/>
        </w:rPr>
        <w:t xml:space="preserve"> </w:t>
      </w:r>
      <w:r w:rsidRPr="001950AE">
        <w:rPr>
          <w:rFonts w:ascii="Garamond" w:hAnsi="Garamond"/>
          <w:bCs/>
          <w:i/>
        </w:rPr>
        <w:t>Regular Migration Analysis of the final draft, Objective by Objective</w:t>
      </w:r>
      <w:r>
        <w:rPr>
          <w:rFonts w:ascii="Garamond" w:hAnsi="Garamond"/>
          <w:bCs/>
          <w:i/>
        </w:rPr>
        <w:t xml:space="preserve">,  </w:t>
      </w:r>
      <w:r>
        <w:rPr>
          <w:rFonts w:ascii="Garamond" w:hAnsi="Garamond"/>
          <w:bCs/>
        </w:rPr>
        <w:t xml:space="preserve">35 </w:t>
      </w:r>
      <w:r w:rsidR="00FE6BA6">
        <w:rPr>
          <w:rFonts w:ascii="Garamond" w:hAnsi="Garamond"/>
          <w:bCs/>
        </w:rPr>
        <w:t>–</w:t>
      </w:r>
      <w:r>
        <w:rPr>
          <w:rFonts w:ascii="Garamond" w:hAnsi="Garamond"/>
          <w:bCs/>
        </w:rPr>
        <w:t xml:space="preserve"> 38</w:t>
      </w:r>
    </w:p>
    <w:p w:rsidR="00FE6BA6" w:rsidRPr="001950AE" w:rsidRDefault="00FE6BA6" w:rsidP="00DB3DA7">
      <w:pPr>
        <w:ind w:left="708" w:hanging="708"/>
        <w:rPr>
          <w:rFonts w:ascii="Garamond" w:hAnsi="Garamond"/>
          <w:bCs/>
        </w:rPr>
      </w:pPr>
      <w:r w:rsidRPr="00FE6BA6">
        <w:rPr>
          <w:rFonts w:ascii="Garamond" w:hAnsi="Garamond"/>
          <w:bCs/>
          <w:lang w:val="en-GB"/>
        </w:rPr>
        <w:t>~</w:t>
      </w:r>
      <w:r>
        <w:rPr>
          <w:rFonts w:ascii="Garamond" w:hAnsi="Garamond"/>
          <w:bCs/>
          <w:lang w:val="en-GB"/>
        </w:rPr>
        <w:t xml:space="preserve"> A betlehemi tranzit. Van-e különbség  Libanon és Magyarország morális kötelességében a szíriai menekültek  védelmét illetően?  </w:t>
      </w:r>
      <w:r w:rsidRPr="00FE6BA6">
        <w:rPr>
          <w:rFonts w:ascii="Garamond" w:hAnsi="Garamond"/>
          <w:bCs/>
          <w:i/>
        </w:rPr>
        <w:t xml:space="preserve">Élet- és Irodalom, </w:t>
      </w:r>
      <w:r w:rsidRPr="00FE6BA6">
        <w:rPr>
          <w:rFonts w:ascii="Garamond" w:hAnsi="Garamond"/>
          <w:bCs/>
          <w:iCs/>
        </w:rPr>
        <w:t>LXIII. évf. 51-52. szám, 2019. december 19</w:t>
      </w:r>
      <w:r>
        <w:rPr>
          <w:rFonts w:ascii="Garamond" w:hAnsi="Garamond"/>
          <w:bCs/>
          <w:iCs/>
        </w:rPr>
        <w:t>.</w:t>
      </w:r>
    </w:p>
    <w:p w:rsidR="00FE6BA6" w:rsidRDefault="001950AE" w:rsidP="00FE6BA6">
      <w:pPr>
        <w:ind w:left="708" w:hanging="708"/>
        <w:rPr>
          <w:rFonts w:ascii="Garamond" w:hAnsi="Garamond"/>
          <w:bCs/>
          <w:iCs/>
        </w:rPr>
      </w:pPr>
      <w:r w:rsidRPr="001950AE">
        <w:rPr>
          <w:rFonts w:ascii="Garamond" w:hAnsi="Garamond"/>
          <w:bCs/>
          <w:lang w:val="en-GB"/>
        </w:rPr>
        <w:t>~</w:t>
      </w:r>
      <w:r>
        <w:rPr>
          <w:rFonts w:ascii="Garamond" w:hAnsi="Garamond"/>
          <w:bCs/>
          <w:lang w:val="en-GB"/>
        </w:rPr>
        <w:t xml:space="preserve"> </w:t>
      </w:r>
      <w:r w:rsidRPr="001950AE">
        <w:rPr>
          <w:rFonts w:ascii="Garamond" w:hAnsi="Garamond"/>
          <w:bCs/>
        </w:rPr>
        <w:t xml:space="preserve"> A magyar menekültügy harminc éve Sírbeszéd</w:t>
      </w:r>
      <w:r>
        <w:rPr>
          <w:rFonts w:ascii="Garamond" w:hAnsi="Garamond"/>
          <w:bCs/>
        </w:rPr>
        <w:t xml:space="preserve"> </w:t>
      </w:r>
      <w:r w:rsidRPr="001950AE">
        <w:rPr>
          <w:rFonts w:ascii="Garamond" w:hAnsi="Garamond"/>
          <w:bCs/>
          <w:i/>
        </w:rPr>
        <w:t>Élet- és Irodalom</w:t>
      </w:r>
      <w:r>
        <w:rPr>
          <w:rFonts w:ascii="Garamond" w:hAnsi="Garamond"/>
          <w:bCs/>
          <w:i/>
        </w:rPr>
        <w:t xml:space="preserve">, </w:t>
      </w:r>
      <w:r w:rsidRPr="00AD5C90">
        <w:rPr>
          <w:rFonts w:ascii="Garamond" w:hAnsi="Garamond"/>
          <w:bCs/>
          <w:iCs/>
        </w:rPr>
        <w:t>LXIII. évfolyam, 26. szám, 2019. június 28.</w:t>
      </w:r>
    </w:p>
    <w:p w:rsidR="00FE6BA6" w:rsidRPr="00DB3DA7" w:rsidRDefault="00FE6BA6" w:rsidP="00FE6BA6">
      <w:pPr>
        <w:ind w:left="708" w:hanging="708"/>
        <w:rPr>
          <w:rFonts w:ascii="Garamond" w:hAnsi="Garamond"/>
        </w:rPr>
      </w:pPr>
      <w:r w:rsidRPr="00FE6BA6">
        <w:rPr>
          <w:rFonts w:ascii="Garamond" w:hAnsi="Garamond"/>
          <w:lang w:val="en-GB"/>
        </w:rPr>
        <w:t xml:space="preserve"> </w:t>
      </w:r>
      <w:r w:rsidRPr="00DB3DA7">
        <w:rPr>
          <w:rFonts w:ascii="Garamond" w:hAnsi="Garamond"/>
          <w:lang w:val="en-GB"/>
        </w:rPr>
        <w:t xml:space="preserve">~ </w:t>
      </w:r>
      <w:r>
        <w:rPr>
          <w:rFonts w:ascii="Garamond" w:hAnsi="Garamond"/>
          <w:lang w:val="en-GB"/>
        </w:rPr>
        <w:t xml:space="preserve">Az elmaradt rendszerváltás: Bős-nagymaros harminc éve  </w:t>
      </w:r>
      <w:r>
        <w:rPr>
          <w:rFonts w:ascii="Garamond" w:hAnsi="Garamond"/>
          <w:i/>
          <w:iCs/>
          <w:lang w:val="en-GB"/>
        </w:rPr>
        <w:t xml:space="preserve">Ellensúly </w:t>
      </w:r>
      <w:r>
        <w:rPr>
          <w:rFonts w:ascii="Garamond" w:hAnsi="Garamond"/>
          <w:lang w:val="en-GB"/>
        </w:rPr>
        <w:t>2019/3, 102 - 114</w:t>
      </w:r>
    </w:p>
    <w:p w:rsidR="001950AE" w:rsidRPr="00AD5C90" w:rsidRDefault="001950AE" w:rsidP="001950AE">
      <w:pPr>
        <w:ind w:left="708" w:hanging="708"/>
        <w:rPr>
          <w:rFonts w:ascii="Garamond" w:hAnsi="Garamond"/>
          <w:bCs/>
          <w:lang w:val="en-GB"/>
        </w:rPr>
      </w:pPr>
    </w:p>
    <w:p w:rsidR="00E640A3" w:rsidRDefault="00E640A3">
      <w:pPr>
        <w:jc w:val="center"/>
        <w:rPr>
          <w:rFonts w:ascii="Garamond" w:hAnsi="Garamond"/>
          <w:b/>
          <w:bCs/>
          <w:color w:val="auto"/>
        </w:rPr>
      </w:pPr>
    </w:p>
    <w:p w:rsidR="00267BDF" w:rsidRDefault="00E640A3" w:rsidP="00267BDF">
      <w:pPr>
        <w:widowControl w:val="0"/>
        <w:jc w:val="center"/>
        <w:rPr>
          <w:rFonts w:ascii="Garamond" w:hAnsi="Garamond"/>
          <w:b/>
          <w:bCs/>
          <w:color w:val="auto"/>
        </w:rPr>
      </w:pPr>
      <w:r>
        <w:rPr>
          <w:rFonts w:ascii="Garamond" w:hAnsi="Garamond"/>
          <w:b/>
          <w:bCs/>
          <w:color w:val="auto"/>
        </w:rPr>
        <w:t>2018</w:t>
      </w:r>
    </w:p>
    <w:p w:rsidR="00DB3DA7" w:rsidRPr="00DB3DA7" w:rsidRDefault="00DB3DA7" w:rsidP="00DB3DA7">
      <w:pPr>
        <w:widowControl w:val="0"/>
        <w:ind w:left="708" w:hanging="708"/>
        <w:rPr>
          <w:rFonts w:ascii="Garamond" w:hAnsi="Garamond"/>
          <w:color w:val="auto"/>
        </w:rPr>
      </w:pPr>
      <w:r w:rsidRPr="00DB3DA7">
        <w:rPr>
          <w:rFonts w:ascii="Garamond" w:hAnsi="Garamond"/>
          <w:color w:val="auto"/>
          <w:lang w:val="en-GB"/>
        </w:rPr>
        <w:t>~</w:t>
      </w:r>
      <w:r>
        <w:rPr>
          <w:rFonts w:ascii="Garamond" w:hAnsi="Garamond"/>
          <w:color w:val="auto"/>
          <w:lang w:val="en-GB"/>
        </w:rPr>
        <w:t xml:space="preserve"> Menekültek jogai, in: Lamm Vanda (szerk) </w:t>
      </w:r>
      <w:r w:rsidRPr="00DB3DA7">
        <w:rPr>
          <w:rFonts w:ascii="Garamond" w:hAnsi="Garamond"/>
          <w:i/>
          <w:iCs/>
          <w:color w:val="auto"/>
          <w:lang w:val="en-GB"/>
        </w:rPr>
        <w:t>Emberi Jogi Enciklopédia</w:t>
      </w:r>
      <w:r>
        <w:rPr>
          <w:rFonts w:ascii="Garamond" w:hAnsi="Garamond"/>
          <w:color w:val="auto"/>
          <w:lang w:val="en-GB"/>
        </w:rPr>
        <w:t xml:space="preserve"> Budapest, HVGORAC, 483 - 494</w:t>
      </w:r>
    </w:p>
    <w:p w:rsidR="00D7229A" w:rsidRPr="00672716" w:rsidRDefault="00D7229A" w:rsidP="00D7229A">
      <w:pPr>
        <w:ind w:left="708" w:hanging="708"/>
        <w:rPr>
          <w:rFonts w:ascii="Garamond" w:hAnsi="Garamond"/>
          <w:bCs/>
          <w:lang w:val="en-GB"/>
        </w:rPr>
      </w:pPr>
      <w:r w:rsidRPr="00672716">
        <w:rPr>
          <w:rFonts w:ascii="Garamond" w:hAnsi="Garamond"/>
          <w:bCs/>
          <w:lang w:val="en-GB"/>
        </w:rPr>
        <w:t>~ Kende, Tamás; Nagy, Boldizsár; Sonnevend, Pál, Valki, László (eds) Nemzetközi Jog [International Law] Second, updated edition, Wolters Kluwer Kiadó, Budapest. Editor and author of six  chapters</w:t>
      </w:r>
      <w:r w:rsidR="007A17C9">
        <w:rPr>
          <w:rFonts w:ascii="Garamond" w:hAnsi="Garamond"/>
          <w:bCs/>
          <w:lang w:val="en-GB"/>
        </w:rPr>
        <w:t xml:space="preserve"> (250 pages written by BN)</w:t>
      </w:r>
    </w:p>
    <w:p w:rsidR="00D7229A" w:rsidRPr="00672716" w:rsidRDefault="00D7229A" w:rsidP="00D7229A">
      <w:pPr>
        <w:ind w:left="708" w:hanging="708"/>
        <w:rPr>
          <w:rFonts w:ascii="Garamond" w:hAnsi="Garamond"/>
          <w:bCs/>
          <w:lang w:val="en-GB"/>
        </w:rPr>
      </w:pPr>
      <w:r w:rsidRPr="00672716">
        <w:rPr>
          <w:rFonts w:ascii="Garamond" w:hAnsi="Garamond"/>
          <w:bCs/>
          <w:lang w:val="en-GB"/>
        </w:rPr>
        <w:t>~ with Pál Sonnevend: Das Asylrecht als Mittel der Isolation – Das Beispiel Ungarns</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Anderheiden, Michael; Brzózka, Helena, Hufeld, Ulrich;  Kirste, Stephan (eds) </w:t>
      </w:r>
      <w:r w:rsidRPr="00672716">
        <w:rPr>
          <w:rFonts w:ascii="Garamond" w:hAnsi="Garamond"/>
          <w:bCs/>
          <w:i/>
          <w:lang w:val="en-GB"/>
        </w:rPr>
        <w:t xml:space="preserve">Asylrecht </w:t>
      </w:r>
      <w:r w:rsidRPr="00672716">
        <w:rPr>
          <w:rFonts w:ascii="Garamond" w:hAnsi="Garamond"/>
          <w:bCs/>
          <w:i/>
          <w:lang w:val="en-GB"/>
        </w:rPr>
        <w:lastRenderedPageBreak/>
        <w:t xml:space="preserve">und Asylpolitik in der Europäischen Union Eine deutsch-ungarische Perspektive [Asylum Law and Asylum Policy in the European Union. A German-Hungarian Perspective] </w:t>
      </w:r>
      <w:r w:rsidRPr="00672716">
        <w:rPr>
          <w:rFonts w:ascii="Garamond" w:hAnsi="Garamond"/>
          <w:bCs/>
          <w:lang w:val="en-GB"/>
        </w:rPr>
        <w:t>Nomos, Baden-Baden,  pp. 217 - 256</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the contribution of Pál Sonnevend) Kein Asyl, keine Solidarität. Ungarns Asylrecht und Asylpolitik in 2015-2017 in:  Darák, Péter; Kube, Hanno; Molnár-Gábor, Fruzsina; Reimer, Ekkehart Hrsg.), </w:t>
      </w:r>
      <w:r w:rsidRPr="00672716">
        <w:rPr>
          <w:rFonts w:ascii="Garamond" w:hAnsi="Garamond"/>
          <w:bCs/>
          <w:i/>
          <w:lang w:val="en-GB"/>
        </w:rPr>
        <w:t>Freiheit und Verantwortung: Grund- und Menschenrechte im Wandel der Zeit in Ungarn und in Deutschland</w:t>
      </w:r>
      <w:r w:rsidRPr="00672716">
        <w:rPr>
          <w:rFonts w:ascii="Garamond" w:hAnsi="Garamond"/>
          <w:bCs/>
          <w:lang w:val="en-GB"/>
        </w:rPr>
        <w:t xml:space="preserve"> (Heidelberg, Universitätsverlag Winter, 2018) pp 145 – 177 </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many others) Guild, Elspeth and Basaran, Tugba (eds) First Perspectives on the Zero Draft (5 February 2018) for the UN Global Compact on Safe, Orderly and Regular Migration Queen Mary University of London, School of Law, Legal Studies Research Paper No. 272/2018 </w:t>
      </w:r>
    </w:p>
    <w:p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Magyarország a nemzetközi vándorlásban [Hungary in international migration] in: </w:t>
      </w:r>
      <w:r w:rsidRPr="00672716">
        <w:rPr>
          <w:rFonts w:ascii="Garamond" w:hAnsi="Garamond"/>
          <w:bCs/>
          <w:i/>
          <w:lang w:val="en-GB"/>
        </w:rPr>
        <w:t xml:space="preserve">Az interkulturális megközelítés - Pedagógiai segédanyag az Artemisszió Alapítvány képzéseihez [Interclutural approach – pedagogical materials for the trainings of the Artemisszio Foundation] </w:t>
      </w:r>
      <w:r w:rsidRPr="00672716">
        <w:rPr>
          <w:rFonts w:ascii="Garamond" w:hAnsi="Garamond"/>
          <w:bCs/>
          <w:lang w:val="en-GB"/>
        </w:rPr>
        <w:t>Budapest Artemisszó Alapítvány, 2017, pp. 76-86</w:t>
      </w:r>
    </w:p>
    <w:p w:rsidR="00E640A3" w:rsidRDefault="00E640A3">
      <w:pPr>
        <w:jc w:val="center"/>
        <w:rPr>
          <w:rFonts w:ascii="Garamond" w:hAnsi="Garamond"/>
          <w:b/>
          <w:bCs/>
          <w:color w:val="auto"/>
        </w:rPr>
      </w:pPr>
    </w:p>
    <w:p w:rsidR="00E40EB7" w:rsidRDefault="00E40EB7">
      <w:pPr>
        <w:jc w:val="center"/>
        <w:rPr>
          <w:rFonts w:ascii="Garamond" w:hAnsi="Garamond"/>
          <w:b/>
          <w:bCs/>
          <w:color w:val="auto"/>
        </w:rPr>
      </w:pPr>
      <w:r>
        <w:rPr>
          <w:rFonts w:ascii="Garamond" w:hAnsi="Garamond"/>
          <w:b/>
          <w:bCs/>
          <w:color w:val="auto"/>
        </w:rPr>
        <w:t>2017</w:t>
      </w:r>
    </w:p>
    <w:p w:rsidR="00BA6E71" w:rsidRDefault="00BA6E71" w:rsidP="00BA6E71">
      <w:pPr>
        <w:ind w:left="708" w:hanging="708"/>
        <w:rPr>
          <w:rFonts w:ascii="Garamond" w:hAnsi="Garamond"/>
          <w:bCs/>
          <w:i/>
          <w:iCs/>
          <w:color w:val="auto"/>
        </w:rPr>
      </w:pPr>
      <w:r w:rsidRPr="00E640A3">
        <w:rPr>
          <w:rFonts w:ascii="Garamond" w:hAnsi="Garamond"/>
          <w:bCs/>
          <w:color w:val="auto"/>
        </w:rPr>
        <w:t xml:space="preserve">~ </w:t>
      </w:r>
      <w:r w:rsidRPr="00E640A3">
        <w:rPr>
          <w:rFonts w:ascii="Garamond" w:hAnsi="Garamond"/>
          <w:bCs/>
          <w:color w:val="auto"/>
          <w:lang w:val="en-US"/>
        </w:rPr>
        <w:t>Renegade in the club.</w:t>
      </w:r>
      <w:r w:rsidRPr="00E640A3">
        <w:rPr>
          <w:rFonts w:ascii="Garamond" w:hAnsi="Garamond"/>
          <w:bCs/>
          <w:color w:val="auto"/>
        </w:rPr>
        <w:t xml:space="preserve"> </w:t>
      </w:r>
      <w:r w:rsidRPr="00E640A3">
        <w:rPr>
          <w:rFonts w:ascii="Garamond" w:hAnsi="Garamond"/>
          <w:bCs/>
          <w:color w:val="auto"/>
          <w:lang w:val="en-US"/>
        </w:rPr>
        <w:t xml:space="preserve"> Hungary’s resistance to EU efforts in the asylum field.</w:t>
      </w:r>
      <w:r w:rsidRPr="00E640A3">
        <w:rPr>
          <w:rFonts w:ascii="Garamond" w:hAnsi="Garamond"/>
          <w:bCs/>
          <w:color w:val="auto"/>
        </w:rPr>
        <w:t xml:space="preserve"> </w:t>
      </w:r>
      <w:r w:rsidRPr="00BA6E71">
        <w:rPr>
          <w:rFonts w:ascii="Garamond" w:hAnsi="Garamond"/>
          <w:bCs/>
          <w:i/>
          <w:iCs/>
          <w:color w:val="auto"/>
        </w:rPr>
        <w:t>Osteuroparecht, Fragen zur Rechtsentwicklung in Mittel- und Osteuropa sowie den GUS-Staaten</w:t>
      </w:r>
      <w:r>
        <w:rPr>
          <w:rFonts w:ascii="Garamond" w:hAnsi="Garamond"/>
          <w:bCs/>
          <w:i/>
          <w:iCs/>
          <w:color w:val="auto"/>
        </w:rPr>
        <w:t xml:space="preserve"> </w:t>
      </w:r>
      <w:r w:rsidRPr="00BA6E71">
        <w:rPr>
          <w:rFonts w:ascii="Garamond" w:hAnsi="Garamond"/>
          <w:bCs/>
          <w:iCs/>
          <w:color w:val="auto"/>
        </w:rPr>
        <w:t>63. Jahrgang, Heft 4|2017 „Rechtsdurchsetzung durch die EU“</w:t>
      </w:r>
      <w:r w:rsidRPr="00BA6E71">
        <w:rPr>
          <w:rFonts w:ascii="Garamond" w:hAnsi="Garamond"/>
          <w:bCs/>
          <w:i/>
          <w:iCs/>
          <w:color w:val="auto"/>
        </w:rPr>
        <w:t xml:space="preserve"> pp. 413 </w:t>
      </w:r>
      <w:r>
        <w:rPr>
          <w:rFonts w:ascii="Garamond" w:hAnsi="Garamond"/>
          <w:bCs/>
          <w:i/>
          <w:iCs/>
          <w:color w:val="auto"/>
        </w:rPr>
        <w:t>–</w:t>
      </w:r>
      <w:r w:rsidRPr="00BA6E71">
        <w:rPr>
          <w:rFonts w:ascii="Garamond" w:hAnsi="Garamond"/>
          <w:bCs/>
          <w:i/>
          <w:iCs/>
          <w:color w:val="auto"/>
        </w:rPr>
        <w:t xml:space="preserve"> 427</w:t>
      </w:r>
    </w:p>
    <w:p w:rsidR="00841222" w:rsidRDefault="00BA6E71" w:rsidP="00BA6E71">
      <w:pPr>
        <w:ind w:left="708" w:hanging="708"/>
        <w:rPr>
          <w:rFonts w:ascii="Garamond" w:hAnsi="Garamond"/>
          <w:b/>
          <w:bCs/>
          <w:color w:val="auto"/>
        </w:rPr>
      </w:pPr>
      <w:r w:rsidRPr="00BA6E71">
        <w:rPr>
          <w:rFonts w:ascii="Garamond" w:hAnsi="Garamond"/>
          <w:bCs/>
          <w:i/>
          <w:iCs/>
          <w:color w:val="auto"/>
          <w:lang w:val="en-GB"/>
        </w:rPr>
        <w:t xml:space="preserve"> </w:t>
      </w:r>
      <w:r w:rsidR="00E42BF1" w:rsidRPr="009D1262">
        <w:rPr>
          <w:rFonts w:ascii="Garamond" w:hAnsi="Garamond"/>
          <w:bCs/>
          <w:lang w:val="en-GB"/>
        </w:rPr>
        <w:t>~</w:t>
      </w:r>
      <w:r w:rsidR="00E42BF1">
        <w:rPr>
          <w:rFonts w:ascii="Garamond" w:hAnsi="Garamond"/>
          <w:bCs/>
          <w:lang w:val="en-GB"/>
        </w:rPr>
        <w:t xml:space="preserve"> A magyar menekültügy hét főbűne</w:t>
      </w:r>
      <w:r w:rsidR="00A638E9">
        <w:rPr>
          <w:rFonts w:ascii="Garamond" w:hAnsi="Garamond"/>
          <w:bCs/>
          <w:lang w:val="en-GB"/>
        </w:rPr>
        <w:t xml:space="preserve">   </w:t>
      </w:r>
      <w:r w:rsidR="00A638E9">
        <w:rPr>
          <w:rFonts w:ascii="Garamond" w:hAnsi="Garamond"/>
          <w:bCs/>
          <w:i/>
          <w:lang w:val="en-GB"/>
        </w:rPr>
        <w:t>Élet- és I</w:t>
      </w:r>
      <w:r w:rsidR="00A638E9" w:rsidRPr="001F420A">
        <w:rPr>
          <w:rFonts w:ascii="Garamond" w:hAnsi="Garamond"/>
          <w:bCs/>
          <w:i/>
          <w:lang w:val="en-GB"/>
        </w:rPr>
        <w:t>rodalom</w:t>
      </w:r>
      <w:r w:rsidR="00A638E9">
        <w:rPr>
          <w:rFonts w:ascii="Garamond" w:hAnsi="Garamond"/>
          <w:bCs/>
          <w:i/>
          <w:lang w:val="en-GB"/>
        </w:rPr>
        <w:t xml:space="preserve">, </w:t>
      </w:r>
      <w:r w:rsidR="00A638E9">
        <w:rPr>
          <w:rFonts w:ascii="Garamond" w:hAnsi="Garamond"/>
          <w:bCs/>
          <w:lang w:val="en-GB"/>
        </w:rPr>
        <w:t>2017 december 20., 20.old.</w:t>
      </w:r>
    </w:p>
    <w:p w:rsidR="00841222" w:rsidRDefault="00E640A3"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00841222" w:rsidRPr="00841222">
        <w:rPr>
          <w:rFonts w:ascii="Garamond" w:hAnsi="Garamond"/>
          <w:bCs/>
          <w:lang w:val="en-GB"/>
        </w:rPr>
        <w:t xml:space="preserve">Restricting access to asylum and contempt of courts: Illiberals at work in Hungary   Blog: EU Immigration and Asylum Law and Policy, published on 18 Sepember 2017 </w:t>
      </w:r>
      <w:r>
        <w:rPr>
          <w:rFonts w:ascii="Garamond" w:hAnsi="Garamond"/>
          <w:bCs/>
          <w:lang w:val="en-GB"/>
        </w:rPr>
        <w:br/>
      </w:r>
      <w:hyperlink r:id="rId7" w:history="1">
        <w:r w:rsidRPr="00393AD8">
          <w:rPr>
            <w:rStyle w:val="Hiperhivatkozs"/>
            <w:rFonts w:ascii="Garamond" w:hAnsi="Garamond"/>
            <w:lang w:val="en-GB"/>
          </w:rPr>
          <w:t>http://eumigrationlawblog.eu/restricting-access-to-asylum-and-contempt-of-courts-illiberals-at-work-in-hungary/</w:t>
        </w:r>
      </w:hyperlink>
      <w:r>
        <w:rPr>
          <w:rFonts w:ascii="Garamond" w:hAnsi="Garamond"/>
          <w:bCs/>
          <w:lang w:val="en-GB"/>
        </w:rPr>
        <w:t xml:space="preserve"> </w:t>
      </w:r>
    </w:p>
    <w:p w:rsidR="001F420A" w:rsidRPr="001F420A" w:rsidRDefault="001F420A" w:rsidP="00E56679">
      <w:pPr>
        <w:ind w:left="708" w:hanging="708"/>
        <w:rPr>
          <w:rFonts w:ascii="Garamond" w:hAnsi="Garamond"/>
        </w:rPr>
      </w:pPr>
      <w:r w:rsidRPr="009D1262">
        <w:rPr>
          <w:rFonts w:ascii="Garamond" w:hAnsi="Garamond"/>
          <w:bCs/>
          <w:lang w:val="en-GB"/>
        </w:rPr>
        <w:t>~</w:t>
      </w:r>
      <w:r>
        <w:rPr>
          <w:rFonts w:ascii="Garamond" w:hAnsi="Garamond"/>
          <w:bCs/>
          <w:lang w:val="en-GB"/>
        </w:rPr>
        <w:t xml:space="preserve"> Az ostornak látszó törvény. A külföldről érkezett támogatások bejelentési kötelezettsége   </w:t>
      </w:r>
      <w:r>
        <w:rPr>
          <w:rFonts w:ascii="Garamond" w:hAnsi="Garamond"/>
          <w:bCs/>
          <w:i/>
          <w:lang w:val="en-GB"/>
        </w:rPr>
        <w:t>Élet- és I</w:t>
      </w:r>
      <w:r w:rsidRPr="001F420A">
        <w:rPr>
          <w:rFonts w:ascii="Garamond" w:hAnsi="Garamond"/>
          <w:bCs/>
          <w:i/>
          <w:lang w:val="en-GB"/>
        </w:rPr>
        <w:t>rodalom</w:t>
      </w:r>
      <w:r>
        <w:rPr>
          <w:rFonts w:ascii="Garamond" w:hAnsi="Garamond"/>
          <w:bCs/>
          <w:i/>
          <w:lang w:val="en-GB"/>
        </w:rPr>
        <w:t xml:space="preserve">, </w:t>
      </w:r>
      <w:r>
        <w:rPr>
          <w:rFonts w:ascii="Garamond" w:hAnsi="Garamond"/>
          <w:bCs/>
          <w:lang w:val="en-GB"/>
        </w:rPr>
        <w:t>2017 április 13., 3. old.</w:t>
      </w:r>
    </w:p>
    <w:p w:rsidR="00B60419" w:rsidRDefault="00E40EB7"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Pr="000344D5">
        <w:rPr>
          <w:rFonts w:ascii="Garamond" w:hAnsi="Garamond"/>
          <w:bCs/>
          <w:i/>
          <w:lang w:val="en-GB"/>
        </w:rPr>
        <w:t>Sharing the Responsibility or Shifting the Focus? The Responses of the EU and the Visegrad Countries to the Post-2015 Arrival of Migrants and Refugees</w:t>
      </w:r>
      <w:r w:rsidR="000344D5">
        <w:rPr>
          <w:rFonts w:ascii="Garamond" w:hAnsi="Garamond"/>
          <w:bCs/>
          <w:i/>
          <w:lang w:val="en-GB"/>
        </w:rPr>
        <w:t xml:space="preserve"> </w:t>
      </w:r>
      <w:r w:rsidR="000A2993">
        <w:rPr>
          <w:rFonts w:ascii="Garamond" w:hAnsi="Garamond"/>
          <w:bCs/>
          <w:i/>
          <w:lang w:val="en-GB"/>
        </w:rPr>
        <w:t xml:space="preserve"> </w:t>
      </w:r>
      <w:r w:rsidR="000A2993">
        <w:rPr>
          <w:rFonts w:ascii="Garamond" w:hAnsi="Garamond"/>
          <w:bCs/>
          <w:lang w:val="en-GB"/>
        </w:rPr>
        <w:t>Gobal Turkey in Europe Working Paper 17, May 2017 Italian Insti</w:t>
      </w:r>
      <w:r w:rsidR="00523D6C">
        <w:rPr>
          <w:rFonts w:ascii="Garamond" w:hAnsi="Garamond"/>
          <w:bCs/>
          <w:lang w:val="en-GB"/>
        </w:rPr>
        <w:t xml:space="preserve">tute of International Affairs </w:t>
      </w:r>
      <w:r w:rsidR="000A2993">
        <w:rPr>
          <w:rFonts w:ascii="Garamond" w:hAnsi="Garamond"/>
          <w:bCs/>
          <w:lang w:val="en-GB"/>
        </w:rPr>
        <w:t xml:space="preserve"> 20</w:t>
      </w:r>
      <w:r w:rsidR="00523D6C">
        <w:rPr>
          <w:rFonts w:ascii="Garamond" w:hAnsi="Garamond"/>
          <w:bCs/>
          <w:lang w:val="en-GB"/>
        </w:rPr>
        <w:t xml:space="preserve"> p. </w:t>
      </w:r>
      <w:r w:rsidR="000A2993">
        <w:rPr>
          <w:rFonts w:ascii="Garamond" w:hAnsi="Garamond"/>
          <w:bCs/>
          <w:lang w:val="en-GB"/>
        </w:rPr>
        <w:t xml:space="preserve"> </w:t>
      </w:r>
      <w:hyperlink r:id="rId8" w:history="1">
        <w:r w:rsidR="000A2993" w:rsidRPr="00026F9C">
          <w:rPr>
            <w:rStyle w:val="Hiperhivatkozs"/>
            <w:rFonts w:ascii="Garamond" w:hAnsi="Garamond"/>
            <w:bCs/>
            <w:lang w:val="en-GB"/>
          </w:rPr>
          <w:t>http://www.iai.it/sites/default/files/gte_wp_17.pdf</w:t>
        </w:r>
      </w:hyperlink>
      <w:r w:rsidR="000A2993">
        <w:rPr>
          <w:rFonts w:ascii="Garamond" w:hAnsi="Garamond"/>
          <w:bCs/>
          <w:lang w:val="en-GB"/>
        </w:rPr>
        <w:t xml:space="preserve"> </w:t>
      </w:r>
    </w:p>
    <w:p w:rsidR="00A638E9" w:rsidRDefault="00A638E9"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El Kazovszkij. Személyes megközelítések in: Rényi András (szerk.)  A túlélő árnyéka Az El Kazovszkij élet/mű  Kieselbach – El kazovszkij Alapítvány, 2017, 7 – 9. old.</w:t>
      </w:r>
    </w:p>
    <w:p w:rsidR="00E56679" w:rsidRPr="000A2993" w:rsidRDefault="00E56679" w:rsidP="00E56679">
      <w:pPr>
        <w:ind w:left="708" w:hanging="708"/>
        <w:rPr>
          <w:rFonts w:ascii="Garamond" w:hAnsi="Garamond"/>
          <w:b/>
          <w:bCs/>
          <w:color w:val="auto"/>
        </w:rPr>
      </w:pPr>
    </w:p>
    <w:p w:rsidR="007E04C5" w:rsidRDefault="009D1262">
      <w:pPr>
        <w:jc w:val="center"/>
        <w:rPr>
          <w:rFonts w:ascii="Garamond" w:hAnsi="Garamond"/>
          <w:b/>
          <w:bCs/>
          <w:color w:val="auto"/>
        </w:rPr>
      </w:pPr>
      <w:r>
        <w:rPr>
          <w:rFonts w:ascii="Garamond" w:hAnsi="Garamond"/>
          <w:b/>
          <w:bCs/>
          <w:color w:val="auto"/>
        </w:rPr>
        <w:t>2016</w:t>
      </w:r>
    </w:p>
    <w:p w:rsidR="00242E7F" w:rsidRDefault="00242E7F">
      <w:pPr>
        <w:jc w:val="center"/>
        <w:rPr>
          <w:rFonts w:ascii="Garamond" w:hAnsi="Garamond"/>
          <w:b/>
          <w:bCs/>
          <w:color w:val="auto"/>
        </w:rPr>
      </w:pPr>
    </w:p>
    <w:p w:rsidR="00242E7F" w:rsidRPr="00242E7F" w:rsidRDefault="00242E7F" w:rsidP="00242E7F">
      <w:pPr>
        <w:ind w:left="708" w:hanging="708"/>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00B319B4">
        <w:rPr>
          <w:rFonts w:ascii="Garamond" w:hAnsi="Garamond"/>
          <w:bCs/>
          <w:lang w:val="en-GB"/>
        </w:rPr>
        <w:t xml:space="preserve">  </w:t>
      </w:r>
      <w:r w:rsidRPr="00242E7F">
        <w:rPr>
          <w:rFonts w:ascii="Garamond" w:hAnsi="Garamond"/>
          <w:bCs/>
          <w:i/>
          <w:lang w:val="en-GB"/>
        </w:rPr>
        <w:t>The aftermath of an invalid referendum on relocation of as</w:t>
      </w:r>
      <w:r w:rsidR="00523D6C">
        <w:rPr>
          <w:rFonts w:ascii="Garamond" w:hAnsi="Garamond"/>
          <w:bCs/>
          <w:i/>
          <w:lang w:val="en-GB"/>
        </w:rPr>
        <w:t xml:space="preserve">ylum seekers: a constitutional </w:t>
      </w:r>
      <w:r w:rsidRPr="00242E7F">
        <w:rPr>
          <w:rFonts w:ascii="Garamond" w:hAnsi="Garamond"/>
          <w:bCs/>
          <w:i/>
          <w:lang w:val="en-GB"/>
        </w:rPr>
        <w:t xml:space="preserve">amendment in </w:t>
      </w:r>
      <w:r>
        <w:rPr>
          <w:rFonts w:ascii="Garamond" w:hAnsi="Garamond"/>
          <w:bCs/>
          <w:i/>
          <w:lang w:val="en-GB"/>
        </w:rPr>
        <w:tab/>
      </w:r>
      <w:r w:rsidRPr="00242E7F">
        <w:rPr>
          <w:rFonts w:ascii="Garamond" w:hAnsi="Garamond"/>
          <w:bCs/>
          <w:i/>
          <w:lang w:val="en-GB"/>
        </w:rPr>
        <w:t>Hungary</w:t>
      </w:r>
      <w:r>
        <w:rPr>
          <w:rFonts w:ascii="Garamond" w:hAnsi="Garamond"/>
          <w:bCs/>
          <w:i/>
          <w:lang w:val="en-GB"/>
        </w:rPr>
        <w:t xml:space="preserve"> </w:t>
      </w:r>
      <w:hyperlink r:id="rId9" w:history="1">
        <w:r w:rsidRPr="00DC2D4B">
          <w:rPr>
            <w:rStyle w:val="Hiperhivatkozs"/>
            <w:rFonts w:ascii="Garamond" w:hAnsi="Garamond"/>
            <w:bCs/>
            <w:lang w:val="en-GB"/>
          </w:rPr>
          <w:t>http://eumigrationlawblog.eu</w:t>
        </w:r>
      </w:hyperlink>
      <w:r>
        <w:rPr>
          <w:rFonts w:ascii="Garamond" w:hAnsi="Garamond"/>
          <w:bCs/>
          <w:lang w:val="en-GB"/>
        </w:rPr>
        <w:t xml:space="preserve"> </w:t>
      </w:r>
      <w:r w:rsidRPr="009D1262">
        <w:rPr>
          <w:rFonts w:ascii="Garamond" w:hAnsi="Garamond"/>
          <w:bCs/>
          <w:lang w:val="en-GB"/>
        </w:rPr>
        <w:t xml:space="preserve"> Published on </w:t>
      </w:r>
      <w:r>
        <w:rPr>
          <w:rFonts w:ascii="Garamond" w:hAnsi="Garamond"/>
          <w:bCs/>
          <w:lang w:val="en-GB"/>
        </w:rPr>
        <w:t>10 November 2016</w:t>
      </w:r>
    </w:p>
    <w:p w:rsidR="00242E7F" w:rsidRDefault="009D1262" w:rsidP="009D1262">
      <w:pPr>
        <w:ind w:left="708" w:hanging="708"/>
        <w:rPr>
          <w:rFonts w:ascii="Garamond" w:hAnsi="Garamond"/>
          <w:bCs/>
          <w:lang w:val="en-GB"/>
        </w:rPr>
      </w:pPr>
      <w:r w:rsidRPr="009D1262">
        <w:rPr>
          <w:rFonts w:ascii="Garamond" w:hAnsi="Garamond"/>
          <w:bCs/>
          <w:lang w:val="en-GB"/>
        </w:rPr>
        <w:t>~ Hungarian Asylum Law and Polic</w:t>
      </w:r>
      <w:r w:rsidR="00523D6C">
        <w:rPr>
          <w:rFonts w:ascii="Garamond" w:hAnsi="Garamond"/>
          <w:bCs/>
          <w:lang w:val="en-GB"/>
        </w:rPr>
        <w:t>y in 2015-2016. Securitization I</w:t>
      </w:r>
      <w:r w:rsidRPr="009D1262">
        <w:rPr>
          <w:rFonts w:ascii="Garamond" w:hAnsi="Garamond"/>
          <w:bCs/>
          <w:lang w:val="en-GB"/>
        </w:rPr>
        <w:t>nstead of Loyal Cooperation</w:t>
      </w:r>
    </w:p>
    <w:p w:rsidR="00242E7F" w:rsidRPr="00242E7F" w:rsidRDefault="00242E7F" w:rsidP="009D1262">
      <w:pPr>
        <w:ind w:left="708" w:hanging="708"/>
        <w:rPr>
          <w:rFonts w:ascii="Garamond" w:hAnsi="Garamond"/>
          <w:bCs/>
          <w:lang w:val="en-GB"/>
        </w:rPr>
      </w:pPr>
      <w:r>
        <w:rPr>
          <w:rFonts w:ascii="Garamond" w:hAnsi="Garamond"/>
          <w:bCs/>
          <w:lang w:val="en-GB"/>
        </w:rPr>
        <w:tab/>
      </w:r>
      <w:r w:rsidRPr="00242E7F">
        <w:rPr>
          <w:rFonts w:ascii="Garamond" w:hAnsi="Garamond"/>
          <w:bCs/>
          <w:i/>
          <w:lang w:val="en-GB"/>
        </w:rPr>
        <w:t>German Law Journal</w:t>
      </w:r>
      <w:r>
        <w:rPr>
          <w:rFonts w:ascii="Garamond" w:hAnsi="Garamond"/>
          <w:bCs/>
          <w:i/>
          <w:lang w:val="en-GB"/>
        </w:rPr>
        <w:t xml:space="preserve"> </w:t>
      </w:r>
      <w:r>
        <w:rPr>
          <w:rFonts w:ascii="Garamond" w:hAnsi="Garamond"/>
          <w:bCs/>
          <w:lang w:val="en-GB"/>
        </w:rPr>
        <w:t>Vol. 17, (2016) No. 6, pp</w:t>
      </w:r>
      <w:r w:rsidR="00523D6C">
        <w:rPr>
          <w:rFonts w:ascii="Garamond" w:hAnsi="Garamond"/>
          <w:bCs/>
          <w:lang w:val="en-GB"/>
        </w:rPr>
        <w:t xml:space="preserve">. </w:t>
      </w:r>
      <w:r>
        <w:rPr>
          <w:rFonts w:ascii="Garamond" w:hAnsi="Garamond"/>
          <w:bCs/>
          <w:lang w:val="en-GB"/>
        </w:rPr>
        <w:t>1032 - 1081</w:t>
      </w:r>
    </w:p>
    <w:p w:rsidR="009D1262" w:rsidRDefault="009D1262" w:rsidP="009D1262">
      <w:pPr>
        <w:ind w:left="708" w:hanging="708"/>
        <w:rPr>
          <w:rFonts w:ascii="Garamond" w:hAnsi="Garamond"/>
          <w:bCs/>
          <w:lang w:val="en-GB"/>
        </w:rPr>
      </w:pPr>
      <w:r w:rsidRPr="009D1262">
        <w:rPr>
          <w:rFonts w:ascii="Garamond" w:hAnsi="Garamond"/>
          <w:bCs/>
          <w:lang w:val="en-GB"/>
        </w:rPr>
        <w:t xml:space="preserve"> ~  </w:t>
      </w:r>
      <w:r w:rsidRPr="00242E7F">
        <w:rPr>
          <w:rFonts w:ascii="Garamond" w:hAnsi="Garamond"/>
          <w:bCs/>
          <w:i/>
          <w:lang w:val="en-GB"/>
        </w:rPr>
        <w:t>In whose interest? Shadows over the Hungarian Residency Bond Program</w:t>
      </w:r>
      <w:r w:rsidRPr="009D1262">
        <w:rPr>
          <w:rFonts w:ascii="Garamond" w:hAnsi="Garamond"/>
          <w:bCs/>
          <w:lang w:val="en-GB"/>
        </w:rPr>
        <w:t xml:space="preserve">  (with the contribution of Miklós Ligeti and József Péter Martin) </w:t>
      </w:r>
      <w:r w:rsidR="00242E7F">
        <w:rPr>
          <w:rFonts w:ascii="Garamond" w:hAnsi="Garamond"/>
          <w:bCs/>
          <w:lang w:val="en-GB"/>
        </w:rPr>
        <w:t>Investment Migration Council – Transparency Int</w:t>
      </w:r>
      <w:r w:rsidR="001F420A">
        <w:rPr>
          <w:rFonts w:ascii="Garamond" w:hAnsi="Garamond"/>
          <w:bCs/>
          <w:lang w:val="en-GB"/>
        </w:rPr>
        <w:t>ernational Hungary, Geneva, 2016</w:t>
      </w:r>
      <w:r w:rsidR="00242E7F">
        <w:rPr>
          <w:rFonts w:ascii="Garamond" w:hAnsi="Garamond"/>
          <w:bCs/>
          <w:lang w:val="en-GB"/>
        </w:rPr>
        <w:t>, 114 p.</w:t>
      </w:r>
    </w:p>
    <w:p w:rsidR="001F420A" w:rsidRPr="001F420A" w:rsidRDefault="001F420A" w:rsidP="009D1262">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Az Európai Unió tagállamai és a menekültek ki (nem) bízhat a másikban? </w:t>
      </w:r>
      <w:r>
        <w:rPr>
          <w:rFonts w:ascii="Garamond" w:hAnsi="Garamond"/>
          <w:bCs/>
          <w:i/>
          <w:lang w:val="en-GB"/>
        </w:rPr>
        <w:t xml:space="preserve">Mozgó Világ </w:t>
      </w:r>
      <w:r w:rsidRPr="001F420A">
        <w:rPr>
          <w:rFonts w:ascii="Garamond" w:hAnsi="Garamond"/>
          <w:bCs/>
          <w:lang w:val="en-GB"/>
        </w:rPr>
        <w:t xml:space="preserve">42. </w:t>
      </w:r>
      <w:r>
        <w:rPr>
          <w:rFonts w:ascii="Garamond" w:hAnsi="Garamond"/>
          <w:bCs/>
          <w:lang w:val="en-GB"/>
        </w:rPr>
        <w:t xml:space="preserve">évf. </w:t>
      </w:r>
      <w:r w:rsidRPr="001F420A">
        <w:rPr>
          <w:rFonts w:ascii="Garamond" w:hAnsi="Garamond"/>
          <w:bCs/>
          <w:lang w:val="en-GB"/>
        </w:rPr>
        <w:t xml:space="preserve">2016/10, </w:t>
      </w:r>
      <w:r>
        <w:rPr>
          <w:rFonts w:ascii="Garamond" w:hAnsi="Garamond"/>
          <w:bCs/>
          <w:lang w:val="en-GB"/>
        </w:rPr>
        <w:t>47 – 66. old</w:t>
      </w:r>
    </w:p>
    <w:p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Tagungsband zum Symposion Dürnstein 2016 NÖ Forschungs- und Bildungsges.m.b.H und Donau-Universität Krems, Krems, 2016</w:t>
      </w:r>
      <w:r w:rsidR="007E2189">
        <w:rPr>
          <w:rFonts w:ascii="Garamond" w:hAnsi="Garamond"/>
          <w:bCs/>
          <w:lang w:val="en-GB"/>
        </w:rPr>
        <w:t>, pp. 105-118</w:t>
      </w:r>
    </w:p>
    <w:p w:rsidR="009619D7" w:rsidRDefault="009619D7" w:rsidP="009D1262">
      <w:pPr>
        <w:ind w:left="708" w:hanging="708"/>
        <w:rPr>
          <w:rFonts w:ascii="Garamond" w:hAnsi="Garamond"/>
          <w:bCs/>
          <w:lang w:val="en-GB"/>
        </w:rPr>
      </w:pPr>
    </w:p>
    <w:p w:rsidR="009D1262" w:rsidRPr="009D1262" w:rsidRDefault="009D1262" w:rsidP="009D1262">
      <w:pPr>
        <w:jc w:val="center"/>
        <w:rPr>
          <w:rFonts w:ascii="Garamond" w:hAnsi="Garamond"/>
          <w:bCs/>
          <w:lang w:val="en-GB"/>
        </w:rPr>
      </w:pPr>
      <w:r>
        <w:rPr>
          <w:rFonts w:ascii="Garamond" w:hAnsi="Garamond"/>
          <w:b/>
          <w:bCs/>
          <w:color w:val="auto"/>
        </w:rPr>
        <w:t>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xml:space="preserve">~ (With Kees Groenendijk) </w:t>
      </w:r>
      <w:r w:rsidRPr="00242E7F">
        <w:rPr>
          <w:rFonts w:ascii="Garamond" w:hAnsi="Garamond"/>
          <w:bCs/>
          <w:i/>
          <w:lang w:val="en-GB"/>
        </w:rPr>
        <w:t>Hungary’s appeal against relocation to the CJEU: upfront attack or rear guard battle? EU Immigration and Asylum Law and Policy</w:t>
      </w:r>
      <w:r w:rsidRPr="009D1262">
        <w:rPr>
          <w:rFonts w:ascii="Garamond" w:hAnsi="Garamond"/>
          <w:bCs/>
          <w:lang w:val="en-GB"/>
        </w:rPr>
        <w:t xml:space="preserve">  </w:t>
      </w:r>
      <w:hyperlink r:id="rId10" w:history="1">
        <w:r w:rsidR="00E40EB7" w:rsidRPr="00DC2D4B">
          <w:rPr>
            <w:rStyle w:val="Hiperhivatkozs"/>
            <w:rFonts w:ascii="Garamond" w:hAnsi="Garamond"/>
            <w:bCs/>
            <w:lang w:val="en-GB"/>
          </w:rPr>
          <w:t>http://eumigrationlawblog.eu</w:t>
        </w:r>
      </w:hyperlink>
      <w:r w:rsidR="00E40EB7">
        <w:rPr>
          <w:rFonts w:ascii="Garamond" w:hAnsi="Garamond"/>
          <w:bCs/>
          <w:lang w:val="en-GB"/>
        </w:rPr>
        <w:t xml:space="preserve"> </w:t>
      </w:r>
      <w:r w:rsidRPr="009D1262">
        <w:rPr>
          <w:rFonts w:ascii="Garamond" w:hAnsi="Garamond"/>
          <w:bCs/>
          <w:lang w:val="en-GB"/>
        </w:rPr>
        <w:t>Published on 16 December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w:t>
      </w:r>
      <w:r w:rsidR="00242E7F">
        <w:rPr>
          <w:rFonts w:ascii="Garamond" w:hAnsi="Garamond"/>
          <w:bCs/>
          <w:lang w:val="en-GB"/>
        </w:rPr>
        <w:t>y  http://eumigrationlawblog.eu</w:t>
      </w:r>
      <w:r w:rsidRPr="009D1262">
        <w:rPr>
          <w:rFonts w:ascii="Garamond" w:hAnsi="Garamond"/>
          <w:bCs/>
          <w:lang w:val="en-GB"/>
        </w:rPr>
        <w:t xml:space="preserve"> Published on 4 November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rsidR="007E04C5" w:rsidRPr="00B534B5" w:rsidRDefault="00B60419" w:rsidP="007E04C5">
      <w:pPr>
        <w:ind w:left="708" w:hanging="708"/>
        <w:rPr>
          <w:rFonts w:ascii="Garamond" w:hAnsi="Garamond"/>
          <w:b/>
          <w:bCs/>
          <w:color w:val="auto"/>
        </w:rPr>
      </w:pPr>
      <w:r w:rsidRPr="0079683A">
        <w:rPr>
          <w:rFonts w:ascii="Garamond" w:hAnsi="Garamond"/>
          <w:b/>
          <w:bCs/>
          <w:lang w:val="en-GB"/>
        </w:rPr>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Alföldi Róbert Magánügyeim</w:t>
      </w:r>
      <w:r>
        <w:rPr>
          <w:rFonts w:ascii="Garamond" w:hAnsi="Garamond"/>
          <w:bCs/>
          <w:i/>
          <w:lang w:val="en-GB"/>
        </w:rPr>
        <w:t xml:space="preserve"> </w:t>
      </w:r>
      <w:r>
        <w:rPr>
          <w:rFonts w:ascii="Garamond" w:hAnsi="Garamond"/>
          <w:bCs/>
          <w:lang w:val="en-GB"/>
        </w:rPr>
        <w:t>Libri, Budapest, 2015, 182 – 190. Eredetileg: ÉS, vol. LIX. (2015) No. 22, p. 10</w:t>
      </w:r>
      <w:r w:rsidR="009817BF">
        <w:rPr>
          <w:rFonts w:ascii="Garamond" w:hAnsi="Garamond"/>
          <w:lang w:val="en-GB"/>
        </w:rPr>
        <w:t>.</w:t>
      </w:r>
      <w:r w:rsidR="009817BF">
        <w:rPr>
          <w:rFonts w:ascii="Garamond" w:hAnsi="Garamond"/>
          <w:lang w:val="en-GB"/>
        </w:rPr>
        <w:br/>
      </w:r>
    </w:p>
    <w:p w:rsidR="00D21209" w:rsidRDefault="00D21209" w:rsidP="00D21209">
      <w:pPr>
        <w:jc w:val="center"/>
        <w:rPr>
          <w:rFonts w:ascii="Garamond" w:hAnsi="Garamond"/>
          <w:b/>
          <w:lang w:val="en-GB"/>
        </w:rPr>
      </w:pPr>
      <w:r w:rsidRPr="0079683A">
        <w:rPr>
          <w:rFonts w:ascii="Garamond" w:hAnsi="Garamond"/>
          <w:b/>
          <w:lang w:val="en-GB"/>
        </w:rPr>
        <w:t>2014</w:t>
      </w:r>
    </w:p>
    <w:p w:rsidR="00D21209" w:rsidRPr="0079683A" w:rsidRDefault="007E04C5" w:rsidP="007E04C5">
      <w:pPr>
        <w:ind w:left="708" w:hanging="708"/>
        <w:jc w:val="both"/>
        <w:rPr>
          <w:rFonts w:ascii="Garamond" w:hAnsi="Garamond"/>
          <w:b/>
          <w:bCs/>
          <w:lang w:val="en-GB"/>
        </w:rPr>
      </w:pPr>
      <w:r w:rsidRPr="00915E0A">
        <w:rPr>
          <w:rFonts w:ascii="Garamond" w:hAnsi="Garamond"/>
          <w:bCs/>
          <w:lang w:val="en-GB"/>
        </w:rPr>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lang w:val="en-GB"/>
        </w:rPr>
        <w:t xml:space="preserve">Under publication with </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p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rsidR="00D21209" w:rsidRPr="0079683A" w:rsidRDefault="00D21209" w:rsidP="00D21209">
      <w:pPr>
        <w:jc w:val="center"/>
        <w:rPr>
          <w:rFonts w:ascii="Garamond" w:hAnsi="Garamond"/>
          <w:b/>
          <w:bCs/>
          <w:szCs w:val="32"/>
          <w:lang w:val="en-GB"/>
        </w:rPr>
      </w:pPr>
    </w:p>
    <w:p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rsidR="001204EF" w:rsidRDefault="001204EF" w:rsidP="002B324F">
      <w:pPr>
        <w:rPr>
          <w:rFonts w:ascii="Garamond" w:hAnsi="Garamond"/>
          <w:b/>
          <w:bCs/>
          <w:color w:val="auto"/>
        </w:rPr>
      </w:pPr>
    </w:p>
    <w:p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rsidR="002B324F" w:rsidRDefault="002B324F" w:rsidP="00A10973">
      <w:pPr>
        <w:jc w:val="center"/>
        <w:rPr>
          <w:rFonts w:ascii="Garamond" w:hAnsi="Garamond"/>
          <w:b/>
          <w:bCs/>
          <w:color w:val="auto"/>
        </w:rPr>
      </w:pPr>
    </w:p>
    <w:p w:rsidR="00B534B5" w:rsidRPr="00B534B5" w:rsidRDefault="00500602" w:rsidP="009817BF">
      <w:pPr>
        <w:jc w:val="center"/>
        <w:rPr>
          <w:rFonts w:ascii="Garamond" w:hAnsi="Garamond"/>
          <w:bCs/>
          <w:color w:val="auto"/>
        </w:rPr>
      </w:pPr>
      <w:r w:rsidRPr="00B534B5">
        <w:rPr>
          <w:rFonts w:ascii="Garamond" w:hAnsi="Garamond"/>
          <w:b/>
          <w:bCs/>
          <w:color w:val="auto"/>
        </w:rPr>
        <w:t>2011</w:t>
      </w:r>
    </w:p>
    <w:p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 1215 – 1241  p.</w:t>
      </w:r>
    </w:p>
    <w:p w:rsidR="002A7FF2" w:rsidRPr="00B534B5" w:rsidRDefault="002A7FF2">
      <w:pPr>
        <w:jc w:val="center"/>
        <w:rPr>
          <w:rFonts w:ascii="Garamond" w:hAnsi="Garamond"/>
          <w:b/>
          <w:bCs/>
          <w:color w:val="auto"/>
        </w:rPr>
      </w:pPr>
    </w:p>
    <w:p w:rsidR="00500602" w:rsidRPr="00B534B5" w:rsidRDefault="002A7FF2">
      <w:pPr>
        <w:jc w:val="center"/>
        <w:rPr>
          <w:rFonts w:ascii="Garamond" w:hAnsi="Garamond"/>
          <w:b/>
          <w:bCs/>
          <w:color w:val="auto"/>
        </w:rPr>
      </w:pPr>
      <w:r w:rsidRPr="00B534B5">
        <w:rPr>
          <w:rFonts w:ascii="Garamond" w:hAnsi="Garamond"/>
          <w:b/>
          <w:bCs/>
          <w:color w:val="auto"/>
        </w:rPr>
        <w:t>2010</w:t>
      </w:r>
    </w:p>
    <w:p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rsidR="00B638D2" w:rsidRPr="00B534B5" w:rsidRDefault="00B638D2">
      <w:pPr>
        <w:jc w:val="center"/>
        <w:rPr>
          <w:rFonts w:ascii="Garamond" w:hAnsi="Garamond"/>
          <w:b/>
          <w:bCs/>
          <w:color w:val="auto"/>
        </w:rPr>
      </w:pPr>
    </w:p>
    <w:p w:rsidR="00FE3E78" w:rsidRPr="00B534B5" w:rsidRDefault="00FE3E78">
      <w:pPr>
        <w:jc w:val="center"/>
        <w:rPr>
          <w:rFonts w:ascii="Garamond" w:hAnsi="Garamond"/>
          <w:b/>
          <w:bCs/>
          <w:color w:val="auto"/>
        </w:rPr>
      </w:pPr>
      <w:r w:rsidRPr="00B534B5">
        <w:rPr>
          <w:rFonts w:ascii="Garamond" w:hAnsi="Garamond"/>
          <w:b/>
          <w:bCs/>
          <w:color w:val="auto"/>
        </w:rPr>
        <w:lastRenderedPageBreak/>
        <w:t>2009</w:t>
      </w:r>
    </w:p>
    <w:p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rsidR="00CD0B0B" w:rsidRPr="00B534B5" w:rsidRDefault="00CD0B0B">
      <w:pPr>
        <w:jc w:val="center"/>
        <w:rPr>
          <w:rFonts w:ascii="Garamond" w:hAnsi="Garamond"/>
          <w:b/>
          <w:bCs/>
          <w:color w:val="auto"/>
        </w:rPr>
      </w:pPr>
    </w:p>
    <w:p w:rsidR="00CD0B0B" w:rsidRPr="00B534B5" w:rsidRDefault="00CD0B0B">
      <w:pPr>
        <w:jc w:val="center"/>
        <w:rPr>
          <w:rFonts w:ascii="Garamond" w:hAnsi="Garamond"/>
          <w:b/>
          <w:bCs/>
          <w:color w:val="auto"/>
        </w:rPr>
      </w:pPr>
      <w:r w:rsidRPr="00B534B5">
        <w:rPr>
          <w:rFonts w:ascii="Garamond" w:hAnsi="Garamond"/>
          <w:b/>
          <w:bCs/>
          <w:color w:val="auto"/>
        </w:rPr>
        <w:t>2008</w:t>
      </w:r>
    </w:p>
    <w:p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rsidR="00C4473F" w:rsidRPr="00B534B5" w:rsidRDefault="00C4473F">
      <w:pPr>
        <w:jc w:val="center"/>
        <w:rPr>
          <w:rFonts w:ascii="Garamond" w:hAnsi="Garamond"/>
          <w:b/>
          <w:bCs/>
          <w:color w:val="auto"/>
        </w:rPr>
      </w:pPr>
    </w:p>
    <w:p w:rsidR="00C4473F" w:rsidRPr="00B534B5" w:rsidRDefault="00C4473F">
      <w:pPr>
        <w:jc w:val="center"/>
        <w:rPr>
          <w:rFonts w:ascii="Garamond" w:hAnsi="Garamond"/>
          <w:b/>
          <w:bCs/>
          <w:color w:val="auto"/>
        </w:rPr>
      </w:pPr>
      <w:r w:rsidRPr="00B534B5">
        <w:rPr>
          <w:rFonts w:ascii="Garamond" w:hAnsi="Garamond"/>
          <w:b/>
          <w:bCs/>
          <w:color w:val="auto"/>
        </w:rPr>
        <w:t>2007</w:t>
      </w:r>
    </w:p>
    <w:p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rsidR="00DB7D99" w:rsidRPr="00B534B5" w:rsidRDefault="00DB7D99" w:rsidP="00945C50">
      <w:pPr>
        <w:ind w:left="708" w:hanging="708"/>
        <w:rPr>
          <w:rFonts w:ascii="Garamond" w:hAnsi="Garamond"/>
          <w:bCs/>
          <w:color w:val="auto"/>
        </w:rPr>
      </w:pPr>
      <w:r w:rsidRPr="00B534B5">
        <w:rPr>
          <w:rFonts w:ascii="Garamond" w:hAnsi="Garamond"/>
          <w:bCs/>
          <w:color w:val="auto"/>
        </w:rPr>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2006</w:t>
      </w:r>
    </w:p>
    <w:p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rsidR="00F22497" w:rsidRPr="00B534B5" w:rsidRDefault="00F22497">
      <w:pPr>
        <w:ind w:left="720"/>
        <w:rPr>
          <w:rFonts w:ascii="Garamond" w:hAnsi="Garamond"/>
          <w:color w:val="auto"/>
        </w:rPr>
      </w:pPr>
      <w:r w:rsidRPr="00B534B5">
        <w:rPr>
          <w:rFonts w:ascii="Garamond" w:hAnsi="Garamond"/>
          <w:color w:val="auto"/>
          <w:lang w:val="en-GB"/>
        </w:rPr>
        <w:lastRenderedPageBreak/>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rsidR="00CF5514" w:rsidRDefault="00F22497" w:rsidP="009817BF">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rsidR="009817BF" w:rsidRDefault="009817BF" w:rsidP="009817BF">
      <w:pPr>
        <w:ind w:left="708" w:hanging="708"/>
        <w:rPr>
          <w:rFonts w:ascii="Garamond" w:hAnsi="Garamond"/>
          <w:b/>
          <w:bCs/>
          <w:color w:val="auto"/>
        </w:rPr>
      </w:pPr>
    </w:p>
    <w:p w:rsidR="00F22497" w:rsidRPr="00B534B5" w:rsidRDefault="00F22497">
      <w:pPr>
        <w:jc w:val="center"/>
        <w:rPr>
          <w:rFonts w:ascii="Garamond" w:hAnsi="Garamond"/>
          <w:color w:val="auto"/>
        </w:rPr>
      </w:pPr>
      <w:r w:rsidRPr="00B534B5">
        <w:rPr>
          <w:rFonts w:ascii="Garamond" w:hAnsi="Garamond"/>
          <w:b/>
          <w:bCs/>
          <w:color w:val="auto"/>
        </w:rPr>
        <w:t>2005</w:t>
      </w:r>
    </w:p>
    <w:p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rsidR="00F22497" w:rsidRPr="00B534B5" w:rsidRDefault="00F22497">
      <w:pPr>
        <w:ind w:left="720" w:hanging="720"/>
        <w:rPr>
          <w:rFonts w:ascii="Garamond" w:hAnsi="Garamond"/>
          <w:color w:val="auto"/>
        </w:rPr>
      </w:pPr>
      <w:r w:rsidRPr="00B534B5">
        <w:rPr>
          <w:rFonts w:ascii="Garamond" w:hAnsi="Garamond"/>
          <w:color w:val="auto"/>
        </w:rPr>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rsidR="00F22497" w:rsidRPr="00B534B5" w:rsidRDefault="00F22497">
      <w:pPr>
        <w:ind w:left="720" w:hanging="720"/>
        <w:rPr>
          <w:rFonts w:ascii="Garamond" w:hAnsi="Garamond"/>
          <w:color w:val="auto"/>
        </w:rPr>
      </w:pPr>
      <w:r w:rsidRPr="00B534B5">
        <w:rPr>
          <w:rFonts w:ascii="Garamond" w:hAnsi="Garamond"/>
          <w:color w:val="auto"/>
        </w:rPr>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rsidR="00F22497"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rsidR="00EB3975" w:rsidRPr="00EB3975" w:rsidRDefault="00EB3975">
      <w:pPr>
        <w:rPr>
          <w:rFonts w:ascii="Garamond" w:hAnsi="Garamond"/>
          <w:color w:val="auto"/>
        </w:rPr>
      </w:pPr>
      <w:r w:rsidRPr="00B534B5">
        <w:rPr>
          <w:rFonts w:ascii="Garamond" w:hAnsi="Garamond"/>
          <w:color w:val="auto"/>
        </w:rPr>
        <w:t>~</w:t>
      </w:r>
      <w:r>
        <w:rPr>
          <w:rFonts w:ascii="Garamond" w:hAnsi="Garamond"/>
          <w:color w:val="auto"/>
        </w:rPr>
        <w:t xml:space="preserve"> (Kőszeg Ferenccel) A befogadó Európai Közösség </w:t>
      </w:r>
      <w:r>
        <w:rPr>
          <w:rFonts w:ascii="Garamond" w:hAnsi="Garamond"/>
          <w:i/>
          <w:color w:val="auto"/>
        </w:rPr>
        <w:t xml:space="preserve">Népszabadság </w:t>
      </w:r>
      <w:r>
        <w:rPr>
          <w:rFonts w:ascii="Garamond" w:hAnsi="Garamond"/>
          <w:color w:val="auto"/>
        </w:rPr>
        <w:t>2004 július 24.</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2003</w:t>
      </w:r>
    </w:p>
    <w:p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rsidR="00F22497" w:rsidRPr="00B534B5" w:rsidRDefault="00F22497">
      <w:pPr>
        <w:ind w:firstLine="120"/>
        <w:rPr>
          <w:rFonts w:ascii="Garamond" w:hAnsi="Garamond"/>
          <w:color w:val="auto"/>
        </w:rPr>
      </w:pPr>
      <w:r w:rsidRPr="00B534B5">
        <w:rPr>
          <w:rFonts w:ascii="Garamond" w:hAnsi="Garamond"/>
          <w:color w:val="auto"/>
        </w:rPr>
        <w:t> </w:t>
      </w:r>
    </w:p>
    <w:p w:rsidR="00F22497" w:rsidRPr="00B534B5" w:rsidRDefault="00F22497">
      <w:pPr>
        <w:ind w:firstLine="120"/>
        <w:jc w:val="center"/>
        <w:rPr>
          <w:rFonts w:ascii="Garamond" w:hAnsi="Garamond"/>
          <w:color w:val="auto"/>
        </w:rPr>
      </w:pPr>
      <w:r w:rsidRPr="00B534B5">
        <w:rPr>
          <w:rFonts w:ascii="Garamond" w:hAnsi="Garamond"/>
          <w:b/>
          <w:bCs/>
          <w:color w:val="auto"/>
        </w:rPr>
        <w:t>2002</w:t>
      </w:r>
    </w:p>
    <w:p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2001 </w:t>
      </w:r>
    </w:p>
    <w:p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rsidR="005D1C6A" w:rsidRDefault="00F22497">
      <w:pPr>
        <w:ind w:left="720" w:hanging="720"/>
        <w:rPr>
          <w:rFonts w:ascii="Garamond" w:hAnsi="Garamond"/>
          <w:color w:val="auto"/>
        </w:rPr>
      </w:pPr>
      <w:r w:rsidRPr="00B534B5">
        <w:rPr>
          <w:rFonts w:ascii="Garamond" w:hAnsi="Garamond"/>
          <w:color w:val="auto"/>
        </w:rPr>
        <w:t xml:space="preserve">~ Turn Back to Look Ahead? Central European Observations on the Future </w:t>
      </w:r>
      <w:r w:rsidR="005D1C6A">
        <w:rPr>
          <w:rFonts w:ascii="Garamond" w:hAnsi="Garamond"/>
          <w:color w:val="auto"/>
        </w:rPr>
        <w:t xml:space="preserve">of Regimes Affecting Refugees.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rsidR="005E44AC" w:rsidRPr="00B534B5" w:rsidRDefault="005E44AC">
      <w:pPr>
        <w:ind w:left="720" w:hanging="720"/>
        <w:rPr>
          <w:rFonts w:ascii="Garamond" w:hAnsi="Garamond"/>
          <w:color w:val="auto"/>
        </w:rPr>
      </w:pPr>
    </w:p>
    <w:p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rsidR="00F22497" w:rsidRPr="00B534B5" w:rsidRDefault="00F22497">
      <w:pPr>
        <w:ind w:left="720" w:hanging="720"/>
        <w:rPr>
          <w:rFonts w:ascii="Garamond" w:hAnsi="Garamond"/>
          <w:color w:val="auto"/>
        </w:rPr>
      </w:pPr>
      <w:r w:rsidRPr="00B534B5">
        <w:rPr>
          <w:rFonts w:ascii="Garamond" w:hAnsi="Garamond"/>
          <w:color w:val="auto"/>
        </w:rPr>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rsidR="00F22497" w:rsidRPr="00B534B5" w:rsidRDefault="00F22497">
      <w:pPr>
        <w:ind w:left="720" w:hanging="720"/>
        <w:rPr>
          <w:rFonts w:ascii="Garamond" w:hAnsi="Garamond"/>
          <w:color w:val="auto"/>
        </w:rPr>
      </w:pPr>
      <w:r w:rsidRPr="00B534B5">
        <w:rPr>
          <w:rFonts w:ascii="Garamond" w:hAnsi="Garamond"/>
          <w:color w:val="auto"/>
        </w:rPr>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rsidR="00CF5514" w:rsidRPr="00B534B5" w:rsidRDefault="00CF5514">
      <w:pPr>
        <w:ind w:left="720" w:hanging="720"/>
        <w:rPr>
          <w:rFonts w:ascii="Garamond" w:hAnsi="Garamond"/>
          <w:color w:val="auto"/>
        </w:rPr>
      </w:pP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rsidR="00F22497" w:rsidRPr="00B534B5" w:rsidRDefault="00F22497">
      <w:pPr>
        <w:ind w:left="720" w:hanging="720"/>
        <w:rPr>
          <w:rFonts w:ascii="Garamond" w:hAnsi="Garamond"/>
          <w:color w:val="auto"/>
        </w:rPr>
      </w:pPr>
      <w:r w:rsidRPr="00B534B5">
        <w:rPr>
          <w:rFonts w:ascii="Garamond" w:hAnsi="Garamond"/>
          <w:color w:val="auto"/>
        </w:rPr>
        <w:lastRenderedPageBreak/>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rsidR="00F22497" w:rsidRPr="00B534B5" w:rsidRDefault="00F22497">
      <w:pPr>
        <w:ind w:left="720" w:hanging="720"/>
        <w:rPr>
          <w:rFonts w:ascii="Garamond" w:hAnsi="Garamond"/>
          <w:color w:val="auto"/>
        </w:rPr>
      </w:pPr>
      <w:r w:rsidRPr="00B534B5">
        <w:rPr>
          <w:rFonts w:ascii="Garamond" w:hAnsi="Garamond"/>
          <w:color w:val="auto"/>
        </w:rPr>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rsidR="00F22497" w:rsidRPr="00B534B5" w:rsidRDefault="00F22497">
      <w:pPr>
        <w:ind w:left="720" w:hanging="720"/>
        <w:rPr>
          <w:rFonts w:ascii="Garamond" w:hAnsi="Garamond"/>
          <w:color w:val="auto"/>
        </w:rPr>
      </w:pPr>
      <w:r w:rsidRPr="00B534B5">
        <w:rPr>
          <w:rFonts w:ascii="Garamond" w:hAnsi="Garamond"/>
          <w:color w:val="auto"/>
        </w:rPr>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rsidR="00F22497" w:rsidRPr="00B534B5" w:rsidRDefault="00F22497">
      <w:pPr>
        <w:ind w:left="720" w:hanging="720"/>
        <w:rPr>
          <w:rFonts w:ascii="Garamond" w:hAnsi="Garamond"/>
          <w:color w:val="auto"/>
        </w:rPr>
      </w:pPr>
      <w:r w:rsidRPr="00B534B5">
        <w:rPr>
          <w:rFonts w:ascii="Garamond" w:hAnsi="Garamond"/>
          <w:color w:val="auto"/>
        </w:rPr>
        <w:t> </w:t>
      </w:r>
    </w:p>
    <w:p w:rsidR="00CF5514" w:rsidRDefault="00694D9A" w:rsidP="00CF5514">
      <w:pPr>
        <w:ind w:left="720" w:hanging="720"/>
        <w:jc w:val="center"/>
        <w:rPr>
          <w:rFonts w:ascii="Garamond" w:hAnsi="Garamond"/>
          <w:b/>
          <w:color w:val="auto"/>
        </w:rPr>
      </w:pPr>
      <w:r w:rsidRPr="00D10209">
        <w:rPr>
          <w:rFonts w:ascii="Garamond" w:hAnsi="Garamond"/>
          <w:b/>
          <w:color w:val="auto"/>
        </w:rPr>
        <w:t>1989</w:t>
      </w:r>
    </w:p>
    <w:p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rsidR="007B1BC1" w:rsidRDefault="007B1BC1" w:rsidP="00D10209">
      <w:pPr>
        <w:ind w:left="720" w:hanging="720"/>
        <w:jc w:val="center"/>
        <w:rPr>
          <w:rFonts w:ascii="Garamond" w:hAnsi="Garamond"/>
          <w:b/>
          <w:color w:val="auto"/>
        </w:rPr>
      </w:pPr>
    </w:p>
    <w:p w:rsidR="00D10209" w:rsidRDefault="00694D9A" w:rsidP="00D10209">
      <w:pPr>
        <w:ind w:left="720" w:hanging="720"/>
        <w:jc w:val="center"/>
        <w:rPr>
          <w:rFonts w:ascii="Garamond" w:hAnsi="Garamond"/>
          <w:b/>
          <w:color w:val="auto"/>
        </w:rPr>
      </w:pPr>
      <w:r w:rsidRPr="00D10209">
        <w:rPr>
          <w:rFonts w:ascii="Garamond" w:hAnsi="Garamond"/>
          <w:b/>
          <w:color w:val="auto"/>
        </w:rPr>
        <w:t>1988</w:t>
      </w:r>
    </w:p>
    <w:p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1987</w:t>
      </w:r>
    </w:p>
    <w:p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1986</w:t>
      </w:r>
    </w:p>
    <w:p w:rsidR="009E6157" w:rsidRPr="00B534B5" w:rsidRDefault="004E75BC" w:rsidP="004E75BC">
      <w:pPr>
        <w:ind w:left="720" w:hanging="720"/>
        <w:jc w:val="center"/>
        <w:rPr>
          <w:rFonts w:ascii="Garamond" w:hAnsi="Garamond"/>
          <w:i/>
          <w:iCs/>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rsidR="009E6157" w:rsidRPr="00B534B5" w:rsidRDefault="004E75BC" w:rsidP="004E75BC">
      <w:pPr>
        <w:pStyle w:val="Nincstrkz"/>
        <w:ind w:left="708" w:hanging="708"/>
        <w:rPr>
          <w:rStyle w:val="CharacterStyle1"/>
          <w:rFonts w:ascii="Garamond" w:hAnsi="Garamond"/>
          <w:i/>
          <w:iCs/>
        </w:rPr>
      </w:pPr>
      <w:r w:rsidRPr="00B534B5">
        <w:rPr>
          <w:rFonts w:ascii="Garamond" w:hAnsi="Garamond"/>
          <w:sz w:val="24"/>
          <w:szCs w:val="24"/>
        </w:rPr>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rsidR="009E6157" w:rsidRPr="00B534B5" w:rsidRDefault="004E75BC" w:rsidP="004E75BC">
      <w:pPr>
        <w:pStyle w:val="Nincstrkz"/>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rsidR="009E6157" w:rsidRPr="00B534B5" w:rsidRDefault="009E6157" w:rsidP="009E6157">
      <w:pPr>
        <w:ind w:left="720" w:hanging="720"/>
        <w:rPr>
          <w:rFonts w:ascii="Garamond" w:hAnsi="Garamond"/>
          <w:color w:val="auto"/>
        </w:rPr>
      </w:pPr>
    </w:p>
    <w:p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rsidR="009E6157" w:rsidRPr="00B534B5" w:rsidRDefault="009E6157" w:rsidP="009E6157">
      <w:pPr>
        <w:ind w:left="720" w:hanging="720"/>
        <w:rPr>
          <w:rStyle w:val="CharacterStyle1"/>
          <w:rFonts w:ascii="Garamond" w:hAnsi="Garamond"/>
        </w:rPr>
      </w:pPr>
    </w:p>
    <w:p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rsidR="009E6157" w:rsidRPr="00B534B5" w:rsidRDefault="009E6157" w:rsidP="009E6157">
      <w:pPr>
        <w:ind w:left="720" w:hanging="720"/>
        <w:rPr>
          <w:rFonts w:ascii="Garamond" w:hAnsi="Garamond"/>
          <w:color w:val="auto"/>
        </w:rPr>
      </w:pPr>
    </w:p>
    <w:p w:rsidR="004711FF" w:rsidRDefault="009E6157" w:rsidP="004711FF">
      <w:pPr>
        <w:ind w:left="720" w:hanging="720"/>
        <w:jc w:val="center"/>
        <w:rPr>
          <w:rFonts w:ascii="Garamond" w:hAnsi="Garamond"/>
          <w:b/>
          <w:color w:val="auto"/>
        </w:rPr>
      </w:pPr>
      <w:r w:rsidRPr="004711FF">
        <w:rPr>
          <w:rFonts w:ascii="Garamond" w:hAnsi="Garamond"/>
          <w:b/>
          <w:color w:val="auto"/>
        </w:rPr>
        <w:t>1982</w:t>
      </w:r>
    </w:p>
    <w:p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rsidR="001358E1" w:rsidRDefault="001358E1" w:rsidP="009E6157">
      <w:pPr>
        <w:ind w:left="720" w:hanging="720"/>
        <w:jc w:val="center"/>
        <w:rPr>
          <w:rFonts w:ascii="Garamond" w:hAnsi="Garamond"/>
          <w:b/>
          <w:color w:val="auto"/>
        </w:rPr>
      </w:pPr>
    </w:p>
    <w:p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rsidR="009E6157" w:rsidRDefault="004711FF" w:rsidP="004711FF">
      <w:pPr>
        <w:ind w:left="708" w:hanging="708"/>
        <w:rPr>
          <w:rFonts w:ascii="Garamond" w:hAnsi="Garamond"/>
        </w:rPr>
      </w:pPr>
      <w:r w:rsidRPr="004711FF">
        <w:rPr>
          <w:rFonts w:ascii="Garamond" w:hAnsi="Garamond"/>
          <w:color w:val="auto"/>
        </w:rPr>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rsidR="00B7072C" w:rsidRPr="00B66F54" w:rsidRDefault="00B7072C" w:rsidP="00B7072C">
      <w:pPr>
        <w:ind w:left="708" w:hanging="708"/>
        <w:rPr>
          <w:rFonts w:ascii="Garamond" w:hAnsi="Garamond"/>
        </w:rPr>
      </w:pPr>
      <w:r w:rsidRPr="004711FF">
        <w:rPr>
          <w:rFonts w:ascii="Garamond" w:hAnsi="Garamond"/>
          <w:color w:val="auto"/>
        </w:rPr>
        <w:t>~</w:t>
      </w:r>
      <w:r>
        <w:rPr>
          <w:rFonts w:ascii="Garamond" w:hAnsi="Garamond"/>
          <w:color w:val="auto"/>
        </w:rPr>
        <w:t xml:space="preserve"> Nemzetközi jog – nemzetközi magánjog (Jogfilozófia – normatan – gyakorlat) in: Dr. Nagy László (szerk): </w:t>
      </w:r>
      <w:r>
        <w:rPr>
          <w:rFonts w:ascii="Garamond" w:hAnsi="Garamond"/>
          <w:i/>
          <w:color w:val="auto"/>
        </w:rPr>
        <w:t xml:space="preserve">Jogász szövetségi értekezések, </w:t>
      </w:r>
      <w:r>
        <w:rPr>
          <w:rFonts w:ascii="Garamond" w:hAnsi="Garamond"/>
          <w:color w:val="auto"/>
        </w:rPr>
        <w:t>Magyar Jogász Szövetség, Budapest, 1981, 1-37. old.</w:t>
      </w:r>
    </w:p>
    <w:p w:rsidR="00B7072C" w:rsidRPr="004711FF" w:rsidRDefault="00B7072C" w:rsidP="004711FF">
      <w:pPr>
        <w:ind w:left="708" w:hanging="708"/>
        <w:rPr>
          <w:rFonts w:ascii="Garamond" w:hAnsi="Garamond"/>
        </w:rPr>
      </w:pPr>
    </w:p>
    <w:p w:rsidR="00CF5514" w:rsidRDefault="009E6157" w:rsidP="00CF5514">
      <w:pPr>
        <w:ind w:left="720" w:hanging="720"/>
        <w:jc w:val="center"/>
        <w:rPr>
          <w:rFonts w:ascii="Garamond" w:hAnsi="Garamond"/>
          <w:b/>
          <w:color w:val="auto"/>
        </w:rPr>
      </w:pPr>
      <w:r w:rsidRPr="004711FF">
        <w:rPr>
          <w:rFonts w:ascii="Garamond" w:hAnsi="Garamond"/>
          <w:b/>
          <w:color w:val="auto"/>
        </w:rPr>
        <w:t>1980</w:t>
      </w:r>
    </w:p>
    <w:p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1979</w:t>
      </w:r>
    </w:p>
    <w:p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rsidR="009E6157" w:rsidRPr="00B534B5" w:rsidRDefault="00CF5514" w:rsidP="009E6157">
      <w:pPr>
        <w:pStyle w:val="Nincstrkz"/>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1977</w:t>
      </w:r>
    </w:p>
    <w:p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rsidR="009E6157" w:rsidRPr="00B534B5" w:rsidRDefault="009E6157" w:rsidP="009E6157">
      <w:pPr>
        <w:ind w:left="720" w:hanging="720"/>
        <w:rPr>
          <w:rFonts w:ascii="Garamond" w:hAnsi="Garamond"/>
          <w:color w:val="auto"/>
        </w:rPr>
      </w:pPr>
    </w:p>
    <w:sectPr w:rsidR="009E6157" w:rsidRPr="00B534B5" w:rsidSect="005460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4AF" w:rsidRDefault="009A64AF" w:rsidP="00AD4D5E">
      <w:r>
        <w:separator/>
      </w:r>
    </w:p>
  </w:endnote>
  <w:endnote w:type="continuationSeparator" w:id="0">
    <w:p w:rsidR="009A64AF" w:rsidRDefault="009A64AF"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5E" w:rsidRPr="00AD4D5E" w:rsidRDefault="00DE0465">
    <w:pPr>
      <w:pStyle w:val="llb"/>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954FD3">
      <w:rPr>
        <w:rFonts w:ascii="Garamond" w:hAnsi="Garamond"/>
        <w:noProof/>
        <w:sz w:val="20"/>
        <w:szCs w:val="20"/>
      </w:rPr>
      <w:t>1</w:t>
    </w:r>
    <w:r w:rsidRPr="00AD4D5E">
      <w:rPr>
        <w:rFonts w:ascii="Garamond" w:hAnsi="Garamond"/>
        <w:sz w:val="20"/>
        <w:szCs w:val="20"/>
      </w:rPr>
      <w:fldChar w:fldCharType="end"/>
    </w:r>
  </w:p>
  <w:p w:rsidR="00AD4D5E" w:rsidRDefault="00AD4D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4AF" w:rsidRDefault="009A64AF" w:rsidP="00AD4D5E">
      <w:r>
        <w:separator/>
      </w:r>
    </w:p>
  </w:footnote>
  <w:footnote w:type="continuationSeparator" w:id="0">
    <w:p w:rsidR="009A64AF" w:rsidRDefault="009A64AF"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3F"/>
    <w:rsid w:val="000344D5"/>
    <w:rsid w:val="00073823"/>
    <w:rsid w:val="000758FE"/>
    <w:rsid w:val="000A2993"/>
    <w:rsid w:val="000D1389"/>
    <w:rsid w:val="000D77FA"/>
    <w:rsid w:val="000F6C8F"/>
    <w:rsid w:val="001009C9"/>
    <w:rsid w:val="00110CD7"/>
    <w:rsid w:val="001204EF"/>
    <w:rsid w:val="001358E1"/>
    <w:rsid w:val="0018049E"/>
    <w:rsid w:val="001948CD"/>
    <w:rsid w:val="001950AE"/>
    <w:rsid w:val="001B67E6"/>
    <w:rsid w:val="001C4D1B"/>
    <w:rsid w:val="001F420A"/>
    <w:rsid w:val="0020236E"/>
    <w:rsid w:val="00242E7F"/>
    <w:rsid w:val="002506BB"/>
    <w:rsid w:val="00264123"/>
    <w:rsid w:val="00264BD2"/>
    <w:rsid w:val="00267BDF"/>
    <w:rsid w:val="002722FF"/>
    <w:rsid w:val="002868B8"/>
    <w:rsid w:val="002A7FF2"/>
    <w:rsid w:val="002B1A8B"/>
    <w:rsid w:val="002B324F"/>
    <w:rsid w:val="002D31B9"/>
    <w:rsid w:val="003003F2"/>
    <w:rsid w:val="00312885"/>
    <w:rsid w:val="0034322E"/>
    <w:rsid w:val="003524AE"/>
    <w:rsid w:val="003808E2"/>
    <w:rsid w:val="003A18DA"/>
    <w:rsid w:val="003C1BCD"/>
    <w:rsid w:val="003C3F9E"/>
    <w:rsid w:val="00413261"/>
    <w:rsid w:val="00422139"/>
    <w:rsid w:val="00425547"/>
    <w:rsid w:val="00431C77"/>
    <w:rsid w:val="0043235E"/>
    <w:rsid w:val="00444BCF"/>
    <w:rsid w:val="004629DC"/>
    <w:rsid w:val="0046799D"/>
    <w:rsid w:val="004711FF"/>
    <w:rsid w:val="004C6DBD"/>
    <w:rsid w:val="004E75BC"/>
    <w:rsid w:val="00500602"/>
    <w:rsid w:val="005224FF"/>
    <w:rsid w:val="00523D6C"/>
    <w:rsid w:val="00545E36"/>
    <w:rsid w:val="00546079"/>
    <w:rsid w:val="00583DA3"/>
    <w:rsid w:val="0059575D"/>
    <w:rsid w:val="005A30ED"/>
    <w:rsid w:val="005B3919"/>
    <w:rsid w:val="005B4177"/>
    <w:rsid w:val="005D1C6A"/>
    <w:rsid w:val="005E0182"/>
    <w:rsid w:val="005E44AC"/>
    <w:rsid w:val="00662720"/>
    <w:rsid w:val="006814E8"/>
    <w:rsid w:val="00694D9A"/>
    <w:rsid w:val="006A1FC9"/>
    <w:rsid w:val="006C3CC2"/>
    <w:rsid w:val="006E0E44"/>
    <w:rsid w:val="006F7775"/>
    <w:rsid w:val="007071EC"/>
    <w:rsid w:val="00707D62"/>
    <w:rsid w:val="00741755"/>
    <w:rsid w:val="007518D2"/>
    <w:rsid w:val="007634EA"/>
    <w:rsid w:val="007A17C9"/>
    <w:rsid w:val="007B1BC1"/>
    <w:rsid w:val="007E04C5"/>
    <w:rsid w:val="007E2189"/>
    <w:rsid w:val="0083611E"/>
    <w:rsid w:val="00841222"/>
    <w:rsid w:val="0084310D"/>
    <w:rsid w:val="00884D27"/>
    <w:rsid w:val="00890809"/>
    <w:rsid w:val="0089497E"/>
    <w:rsid w:val="008A487E"/>
    <w:rsid w:val="008A7E09"/>
    <w:rsid w:val="008C3D2B"/>
    <w:rsid w:val="008E4752"/>
    <w:rsid w:val="008F49EA"/>
    <w:rsid w:val="009067F7"/>
    <w:rsid w:val="00924F99"/>
    <w:rsid w:val="00931B07"/>
    <w:rsid w:val="00945C50"/>
    <w:rsid w:val="00954FD3"/>
    <w:rsid w:val="009619D7"/>
    <w:rsid w:val="00975F98"/>
    <w:rsid w:val="009817BF"/>
    <w:rsid w:val="00997B35"/>
    <w:rsid w:val="009A1DAE"/>
    <w:rsid w:val="009A64AF"/>
    <w:rsid w:val="009D1262"/>
    <w:rsid w:val="009E4736"/>
    <w:rsid w:val="009E6157"/>
    <w:rsid w:val="00A10973"/>
    <w:rsid w:val="00A16780"/>
    <w:rsid w:val="00A638E9"/>
    <w:rsid w:val="00A728CF"/>
    <w:rsid w:val="00A72C0A"/>
    <w:rsid w:val="00A854A6"/>
    <w:rsid w:val="00A87D54"/>
    <w:rsid w:val="00AD4D5E"/>
    <w:rsid w:val="00AD5C90"/>
    <w:rsid w:val="00B16840"/>
    <w:rsid w:val="00B319B4"/>
    <w:rsid w:val="00B37FFB"/>
    <w:rsid w:val="00B534B5"/>
    <w:rsid w:val="00B60419"/>
    <w:rsid w:val="00B638D2"/>
    <w:rsid w:val="00B7072C"/>
    <w:rsid w:val="00B76F62"/>
    <w:rsid w:val="00BA223B"/>
    <w:rsid w:val="00BA6E71"/>
    <w:rsid w:val="00BB4C00"/>
    <w:rsid w:val="00BE4DE2"/>
    <w:rsid w:val="00C4473F"/>
    <w:rsid w:val="00C578C0"/>
    <w:rsid w:val="00C72976"/>
    <w:rsid w:val="00C84264"/>
    <w:rsid w:val="00C95933"/>
    <w:rsid w:val="00CB53E2"/>
    <w:rsid w:val="00CC784F"/>
    <w:rsid w:val="00CD0B0B"/>
    <w:rsid w:val="00CF5005"/>
    <w:rsid w:val="00CF5514"/>
    <w:rsid w:val="00D06FAD"/>
    <w:rsid w:val="00D10209"/>
    <w:rsid w:val="00D21209"/>
    <w:rsid w:val="00D21EF4"/>
    <w:rsid w:val="00D25250"/>
    <w:rsid w:val="00D52B65"/>
    <w:rsid w:val="00D65CA0"/>
    <w:rsid w:val="00D702FF"/>
    <w:rsid w:val="00D7229A"/>
    <w:rsid w:val="00D75561"/>
    <w:rsid w:val="00D82898"/>
    <w:rsid w:val="00D85F78"/>
    <w:rsid w:val="00DA7C37"/>
    <w:rsid w:val="00DB3DA7"/>
    <w:rsid w:val="00DB7D99"/>
    <w:rsid w:val="00DD2051"/>
    <w:rsid w:val="00DD22CB"/>
    <w:rsid w:val="00DE0465"/>
    <w:rsid w:val="00DE5FBC"/>
    <w:rsid w:val="00E009E8"/>
    <w:rsid w:val="00E075D3"/>
    <w:rsid w:val="00E25D8B"/>
    <w:rsid w:val="00E40EB7"/>
    <w:rsid w:val="00E42BF1"/>
    <w:rsid w:val="00E56679"/>
    <w:rsid w:val="00E640A3"/>
    <w:rsid w:val="00E93BF3"/>
    <w:rsid w:val="00E97A75"/>
    <w:rsid w:val="00EB3975"/>
    <w:rsid w:val="00ED0D15"/>
    <w:rsid w:val="00EF5605"/>
    <w:rsid w:val="00F06EC7"/>
    <w:rsid w:val="00F10491"/>
    <w:rsid w:val="00F22497"/>
    <w:rsid w:val="00F75BA2"/>
    <w:rsid w:val="00F93FA9"/>
    <w:rsid w:val="00FE001B"/>
    <w:rsid w:val="00FE3E78"/>
    <w:rsid w:val="00FE6B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157D2"/>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546079"/>
    <w:rPr>
      <w:color w:val="000000"/>
      <w:sz w:val="24"/>
      <w:szCs w:val="24"/>
    </w:rPr>
  </w:style>
  <w:style w:type="paragraph" w:styleId="Cmsor1">
    <w:name w:val="heading 1"/>
    <w:basedOn w:val="Norml"/>
    <w:next w:val="Norml"/>
    <w:link w:val="Cmsor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paragraph" w:styleId="Cmsor4">
    <w:name w:val="heading 4"/>
    <w:basedOn w:val="Norml"/>
    <w:next w:val="Norml"/>
    <w:link w:val="Cmsor4Char"/>
    <w:uiPriority w:val="9"/>
    <w:semiHidden/>
    <w:unhideWhenUsed/>
    <w:qFormat/>
    <w:rsid w:val="00242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6079"/>
    <w:rPr>
      <w:color w:val="339999"/>
      <w:u w:val="single"/>
    </w:rPr>
  </w:style>
  <w:style w:type="character" w:styleId="Mrltotthiperhivatkozs">
    <w:name w:val="FollowedHyperlink"/>
    <w:basedOn w:val="Bekezdsalapbettpusa"/>
    <w:uiPriority w:val="99"/>
    <w:semiHidden/>
    <w:unhideWhenUsed/>
    <w:rsid w:val="00546079"/>
    <w:rPr>
      <w:color w:val="999999"/>
      <w:u w:val="single"/>
    </w:rPr>
  </w:style>
  <w:style w:type="character" w:customStyle="1" w:styleId="Cmsor1Char">
    <w:name w:val="Címsor 1 Char"/>
    <w:basedOn w:val="Bekezdsalapbettpusa"/>
    <w:link w:val="Cmsor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incstrkz">
    <w:name w:val="No Spacing"/>
    <w:uiPriority w:val="1"/>
    <w:qFormat/>
    <w:rsid w:val="009E6157"/>
    <w:pPr>
      <w:widowControl w:val="0"/>
      <w:autoSpaceDE w:val="0"/>
      <w:autoSpaceDN w:val="0"/>
      <w:adjustRightInd w:val="0"/>
    </w:pPr>
  </w:style>
  <w:style w:type="paragraph" w:styleId="lfej">
    <w:name w:val="header"/>
    <w:basedOn w:val="Norml"/>
    <w:link w:val="lfejChar"/>
    <w:uiPriority w:val="99"/>
    <w:unhideWhenUsed/>
    <w:rsid w:val="00AD4D5E"/>
    <w:pPr>
      <w:tabs>
        <w:tab w:val="center" w:pos="4536"/>
        <w:tab w:val="right" w:pos="9072"/>
      </w:tabs>
    </w:pPr>
  </w:style>
  <w:style w:type="character" w:customStyle="1" w:styleId="lfejChar">
    <w:name w:val="Élőfej Char"/>
    <w:basedOn w:val="Bekezdsalapbettpusa"/>
    <w:link w:val="lfej"/>
    <w:uiPriority w:val="99"/>
    <w:rsid w:val="00AD4D5E"/>
    <w:rPr>
      <w:color w:val="000000"/>
      <w:sz w:val="24"/>
      <w:szCs w:val="24"/>
    </w:rPr>
  </w:style>
  <w:style w:type="paragraph" w:styleId="llb">
    <w:name w:val="footer"/>
    <w:basedOn w:val="Norml"/>
    <w:link w:val="llbChar"/>
    <w:uiPriority w:val="99"/>
    <w:unhideWhenUsed/>
    <w:rsid w:val="00AD4D5E"/>
    <w:pPr>
      <w:tabs>
        <w:tab w:val="center" w:pos="4536"/>
        <w:tab w:val="right" w:pos="9072"/>
      </w:tabs>
    </w:pPr>
  </w:style>
  <w:style w:type="character" w:customStyle="1" w:styleId="llbChar">
    <w:name w:val="Élőláb Char"/>
    <w:basedOn w:val="Bekezdsalapbettpusa"/>
    <w:link w:val="llb"/>
    <w:uiPriority w:val="99"/>
    <w:rsid w:val="00AD4D5E"/>
    <w:rPr>
      <w:color w:val="000000"/>
      <w:sz w:val="24"/>
      <w:szCs w:val="24"/>
    </w:rPr>
  </w:style>
  <w:style w:type="character" w:customStyle="1" w:styleId="Cmsor4Char">
    <w:name w:val="Címsor 4 Char"/>
    <w:basedOn w:val="Bekezdsalapbettpusa"/>
    <w:link w:val="Cmsor4"/>
    <w:uiPriority w:val="9"/>
    <w:semiHidden/>
    <w:rsid w:val="00242E7F"/>
    <w:rPr>
      <w:rFonts w:asciiTheme="majorHAnsi" w:eastAsiaTheme="majorEastAsia" w:hAnsiTheme="majorHAnsi" w:cstheme="majorBidi"/>
      <w:i/>
      <w:iCs/>
      <w:color w:val="365F91" w:themeColor="accent1" w:themeShade="BF"/>
      <w:sz w:val="24"/>
      <w:szCs w:val="24"/>
    </w:rPr>
  </w:style>
  <w:style w:type="character" w:styleId="Feloldatlanmegemlts">
    <w:name w:val="Unresolved Mention"/>
    <w:basedOn w:val="Bekezdsalapbettpusa"/>
    <w:uiPriority w:val="99"/>
    <w:semiHidden/>
    <w:unhideWhenUsed/>
    <w:rsid w:val="00841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335">
      <w:marLeft w:val="0"/>
      <w:marRight w:val="0"/>
      <w:marTop w:val="0"/>
      <w:marBottom w:val="0"/>
      <w:divBdr>
        <w:top w:val="none" w:sz="0" w:space="0" w:color="auto"/>
        <w:left w:val="none" w:sz="0" w:space="0" w:color="auto"/>
        <w:bottom w:val="none" w:sz="0" w:space="0" w:color="auto"/>
        <w:right w:val="none" w:sz="0" w:space="0" w:color="auto"/>
      </w:divBdr>
    </w:div>
    <w:div w:id="141429391">
      <w:bodyDiv w:val="1"/>
      <w:marLeft w:val="0"/>
      <w:marRight w:val="0"/>
      <w:marTop w:val="0"/>
      <w:marBottom w:val="0"/>
      <w:divBdr>
        <w:top w:val="none" w:sz="0" w:space="0" w:color="auto"/>
        <w:left w:val="none" w:sz="0" w:space="0" w:color="auto"/>
        <w:bottom w:val="none" w:sz="0" w:space="0" w:color="auto"/>
        <w:right w:val="none" w:sz="0" w:space="0" w:color="auto"/>
      </w:divBdr>
    </w:div>
    <w:div w:id="167671115">
      <w:bodyDiv w:val="1"/>
      <w:marLeft w:val="0"/>
      <w:marRight w:val="0"/>
      <w:marTop w:val="0"/>
      <w:marBottom w:val="0"/>
      <w:divBdr>
        <w:top w:val="none" w:sz="0" w:space="0" w:color="auto"/>
        <w:left w:val="none" w:sz="0" w:space="0" w:color="auto"/>
        <w:bottom w:val="none" w:sz="0" w:space="0" w:color="auto"/>
        <w:right w:val="none" w:sz="0" w:space="0" w:color="auto"/>
      </w:divBdr>
    </w:div>
    <w:div w:id="232936692">
      <w:bodyDiv w:val="1"/>
      <w:marLeft w:val="0"/>
      <w:marRight w:val="0"/>
      <w:marTop w:val="0"/>
      <w:marBottom w:val="0"/>
      <w:divBdr>
        <w:top w:val="none" w:sz="0" w:space="0" w:color="auto"/>
        <w:left w:val="none" w:sz="0" w:space="0" w:color="auto"/>
        <w:bottom w:val="none" w:sz="0" w:space="0" w:color="auto"/>
        <w:right w:val="none" w:sz="0" w:space="0" w:color="auto"/>
      </w:divBdr>
    </w:div>
    <w:div w:id="271984029">
      <w:bodyDiv w:val="1"/>
      <w:marLeft w:val="0"/>
      <w:marRight w:val="0"/>
      <w:marTop w:val="0"/>
      <w:marBottom w:val="0"/>
      <w:divBdr>
        <w:top w:val="none" w:sz="0" w:space="0" w:color="auto"/>
        <w:left w:val="none" w:sz="0" w:space="0" w:color="auto"/>
        <w:bottom w:val="none" w:sz="0" w:space="0" w:color="auto"/>
        <w:right w:val="none" w:sz="0" w:space="0" w:color="auto"/>
      </w:divBdr>
    </w:div>
    <w:div w:id="564413869">
      <w:bodyDiv w:val="1"/>
      <w:marLeft w:val="0"/>
      <w:marRight w:val="0"/>
      <w:marTop w:val="0"/>
      <w:marBottom w:val="0"/>
      <w:divBdr>
        <w:top w:val="none" w:sz="0" w:space="0" w:color="auto"/>
        <w:left w:val="none" w:sz="0" w:space="0" w:color="auto"/>
        <w:bottom w:val="none" w:sz="0" w:space="0" w:color="auto"/>
        <w:right w:val="none" w:sz="0" w:space="0" w:color="auto"/>
      </w:divBdr>
    </w:div>
    <w:div w:id="687289630">
      <w:bodyDiv w:val="1"/>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287741199">
      <w:bodyDiv w:val="1"/>
      <w:marLeft w:val="0"/>
      <w:marRight w:val="0"/>
      <w:marTop w:val="0"/>
      <w:marBottom w:val="0"/>
      <w:divBdr>
        <w:top w:val="none" w:sz="0" w:space="0" w:color="auto"/>
        <w:left w:val="none" w:sz="0" w:space="0" w:color="auto"/>
        <w:bottom w:val="none" w:sz="0" w:space="0" w:color="auto"/>
        <w:right w:val="none" w:sz="0" w:space="0" w:color="auto"/>
      </w:divBdr>
    </w:div>
    <w:div w:id="1295596315">
      <w:bodyDiv w:val="1"/>
      <w:marLeft w:val="0"/>
      <w:marRight w:val="0"/>
      <w:marTop w:val="0"/>
      <w:marBottom w:val="0"/>
      <w:divBdr>
        <w:top w:val="none" w:sz="0" w:space="0" w:color="auto"/>
        <w:left w:val="none" w:sz="0" w:space="0" w:color="auto"/>
        <w:bottom w:val="none" w:sz="0" w:space="0" w:color="auto"/>
        <w:right w:val="none" w:sz="0" w:space="0" w:color="auto"/>
      </w:divBdr>
    </w:div>
    <w:div w:id="1676178975">
      <w:marLeft w:val="0"/>
      <w:marRight w:val="0"/>
      <w:marTop w:val="0"/>
      <w:marBottom w:val="0"/>
      <w:divBdr>
        <w:top w:val="none" w:sz="0" w:space="0" w:color="auto"/>
        <w:left w:val="none" w:sz="0" w:space="0" w:color="auto"/>
        <w:bottom w:val="none" w:sz="0" w:space="0" w:color="auto"/>
        <w:right w:val="none" w:sz="0" w:space="0" w:color="auto"/>
      </w:divBdr>
    </w:div>
    <w:div w:id="1940405142">
      <w:bodyDiv w:val="1"/>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i.it/sites/default/files/gte_wp_1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migrationlawblog.eu/restricting-access-to-asylum-and-contempt-of-courts-illiberals-at-work-in-hunga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l-sedi.eu/esil-newsletter-june-201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umigrationlawblog.eu" TargetMode="External"/><Relationship Id="rId4" Type="http://schemas.openxmlformats.org/officeDocument/2006/relationships/footnotes" Target="footnotes.xml"/><Relationship Id="rId9" Type="http://schemas.openxmlformats.org/officeDocument/2006/relationships/hyperlink" Target="http://eumigrationlawblog.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4410</Words>
  <Characters>30431</Characters>
  <Application>Microsoft Office Word</Application>
  <DocSecurity>0</DocSecurity>
  <Lines>253</Lines>
  <Paragraphs>69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Bibliográfia</vt:lpstr>
      <vt:lpstr>Bibliográfia</vt:lpstr>
    </vt:vector>
  </TitlesOfParts>
  <Company>TOSHIBA</Company>
  <LinksUpToDate>false</LinksUpToDate>
  <CharactersWithSpaces>34772</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Boldizsar Nagy</cp:lastModifiedBy>
  <cp:revision>3</cp:revision>
  <cp:lastPrinted>2011-12-03T20:56:00Z</cp:lastPrinted>
  <dcterms:created xsi:type="dcterms:W3CDTF">2020-06-04T10:51:00Z</dcterms:created>
  <dcterms:modified xsi:type="dcterms:W3CDTF">2020-06-04T11:40:00Z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