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01" w:rsidRPr="00256B01" w:rsidRDefault="00256B01" w:rsidP="00256B01">
      <w:pPr>
        <w:rPr>
          <w:lang w:val="hu-HU"/>
        </w:rPr>
      </w:pPr>
    </w:p>
    <w:p w:rsidR="00B74AE4" w:rsidRDefault="00256B01" w:rsidP="00256B01">
      <w:pPr>
        <w:rPr>
          <w:b/>
          <w:bCs/>
          <w:lang w:val="hu-HU"/>
        </w:rPr>
      </w:pPr>
      <w:r w:rsidRPr="00256B01">
        <w:rPr>
          <w:lang w:val="hu-HU"/>
        </w:rPr>
        <w:t xml:space="preserve"> </w:t>
      </w:r>
      <w:r w:rsidRPr="00256B01">
        <w:rPr>
          <w:b/>
          <w:bCs/>
          <w:lang w:val="hu-HU"/>
        </w:rPr>
        <w:t>Az elmaradt rendszerváltás: Bős–Nagymaros harminc éve</w:t>
      </w:r>
      <w:r>
        <w:rPr>
          <w:b/>
          <w:bCs/>
          <w:lang w:val="hu-HU"/>
        </w:rPr>
        <w:t xml:space="preserve"> – korrektúra, 2019 október 17.</w:t>
      </w:r>
    </w:p>
    <w:p w:rsidR="00256B01" w:rsidRDefault="00256B01" w:rsidP="00256B01">
      <w:pPr>
        <w:rPr>
          <w:b/>
          <w:bCs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56B01" w:rsidTr="00256B01">
        <w:tc>
          <w:tcPr>
            <w:tcW w:w="3020" w:type="dxa"/>
          </w:tcPr>
          <w:p w:rsidR="00256B01" w:rsidRDefault="00256B01" w:rsidP="00256B01">
            <w:pPr>
              <w:shd w:val="clear" w:color="auto" w:fill="auto"/>
            </w:pPr>
            <w:r>
              <w:t>Oldal</w:t>
            </w:r>
          </w:p>
        </w:tc>
        <w:tc>
          <w:tcPr>
            <w:tcW w:w="3021" w:type="dxa"/>
          </w:tcPr>
          <w:p w:rsidR="00256B01" w:rsidRDefault="00256B01" w:rsidP="00256B01">
            <w:pPr>
              <w:shd w:val="clear" w:color="auto" w:fill="auto"/>
            </w:pPr>
            <w:r>
              <w:t>Jelenlegi</w:t>
            </w:r>
          </w:p>
        </w:tc>
        <w:tc>
          <w:tcPr>
            <w:tcW w:w="3021" w:type="dxa"/>
          </w:tcPr>
          <w:p w:rsidR="00256B01" w:rsidRDefault="00256B01" w:rsidP="00256B01">
            <w:pPr>
              <w:shd w:val="clear" w:color="auto" w:fill="auto"/>
            </w:pPr>
            <w:r>
              <w:t>Helyes</w:t>
            </w:r>
          </w:p>
        </w:tc>
      </w:tr>
      <w:tr w:rsidR="00256B01" w:rsidTr="00256B01">
        <w:tc>
          <w:tcPr>
            <w:tcW w:w="3020" w:type="dxa"/>
          </w:tcPr>
          <w:p w:rsidR="00256B01" w:rsidRDefault="00256B01" w:rsidP="00256B01">
            <w:pPr>
              <w:shd w:val="clear" w:color="auto" w:fill="auto"/>
            </w:pPr>
            <w:r w:rsidRPr="00256B01">
              <w:t>103</w:t>
            </w:r>
            <w:r w:rsidRPr="00256B01">
              <w:tab/>
            </w:r>
            <w:r w:rsidRPr="00256B01">
              <w:tab/>
            </w:r>
          </w:p>
        </w:tc>
        <w:tc>
          <w:tcPr>
            <w:tcW w:w="3021" w:type="dxa"/>
          </w:tcPr>
          <w:p w:rsidR="00256B01" w:rsidRDefault="00256B01" w:rsidP="00256B01">
            <w:pPr>
              <w:shd w:val="clear" w:color="auto" w:fill="auto"/>
            </w:pPr>
            <w:r w:rsidRPr="00256B01">
              <w:t>eltérítésével</w:t>
            </w:r>
          </w:p>
        </w:tc>
        <w:tc>
          <w:tcPr>
            <w:tcW w:w="3021" w:type="dxa"/>
          </w:tcPr>
          <w:p w:rsidR="00256B01" w:rsidRDefault="00256B01" w:rsidP="00256B01">
            <w:pPr>
              <w:shd w:val="clear" w:color="auto" w:fill="auto"/>
            </w:pPr>
            <w:r w:rsidRPr="00256B01">
              <w:t>elterelésével</w:t>
            </w:r>
            <w:r>
              <w:t xml:space="preserve"> </w:t>
            </w:r>
            <w:r>
              <w:rPr>
                <w:rStyle w:val="Lbjegyzet-hivatkozs"/>
              </w:rPr>
              <w:footnoteReference w:id="1"/>
            </w:r>
          </w:p>
        </w:tc>
      </w:tr>
      <w:tr w:rsidR="00256B01" w:rsidTr="00256B01">
        <w:tc>
          <w:tcPr>
            <w:tcW w:w="3020" w:type="dxa"/>
          </w:tcPr>
          <w:p w:rsidR="00256B01" w:rsidRDefault="00256B01" w:rsidP="00256B01">
            <w:pPr>
              <w:shd w:val="clear" w:color="auto" w:fill="auto"/>
            </w:pPr>
            <w:r>
              <w:t>103</w:t>
            </w:r>
          </w:p>
        </w:tc>
        <w:tc>
          <w:tcPr>
            <w:tcW w:w="3021" w:type="dxa"/>
          </w:tcPr>
          <w:p w:rsidR="00256B01" w:rsidRDefault="00256B01" w:rsidP="00256B01">
            <w:pPr>
              <w:shd w:val="clear" w:color="auto" w:fill="auto"/>
            </w:pPr>
            <w:r w:rsidRPr="00256B01">
              <w:t>kellőkép-pen</w:t>
            </w:r>
          </w:p>
        </w:tc>
        <w:tc>
          <w:tcPr>
            <w:tcW w:w="3021" w:type="dxa"/>
          </w:tcPr>
          <w:p w:rsidR="00256B01" w:rsidRDefault="00256B01" w:rsidP="00256B01">
            <w:pPr>
              <w:shd w:val="clear" w:color="auto" w:fill="auto"/>
            </w:pPr>
            <w:r>
              <w:t>kellőképen</w:t>
            </w:r>
          </w:p>
        </w:tc>
      </w:tr>
      <w:tr w:rsidR="00256B01" w:rsidTr="00256B01">
        <w:tc>
          <w:tcPr>
            <w:tcW w:w="3020" w:type="dxa"/>
          </w:tcPr>
          <w:p w:rsidR="00256B01" w:rsidRDefault="00256B01" w:rsidP="00256B01">
            <w:pPr>
              <w:shd w:val="clear" w:color="auto" w:fill="auto"/>
            </w:pPr>
            <w:r>
              <w:t>104</w:t>
            </w:r>
          </w:p>
        </w:tc>
        <w:tc>
          <w:tcPr>
            <w:tcW w:w="3021" w:type="dxa"/>
          </w:tcPr>
          <w:p w:rsidR="00256B01" w:rsidRDefault="00256B01" w:rsidP="00256B01">
            <w:pPr>
              <w:shd w:val="clear" w:color="auto" w:fill="auto"/>
            </w:pPr>
            <w:r w:rsidRPr="00256B01">
              <w:rPr>
                <w:lang w:val="hu-HU"/>
              </w:rPr>
              <w:t>a vita nemzetközi bíróság</w:t>
            </w:r>
          </w:p>
        </w:tc>
        <w:tc>
          <w:tcPr>
            <w:tcW w:w="3021" w:type="dxa"/>
          </w:tcPr>
          <w:p w:rsidR="00256B01" w:rsidRDefault="00256B01" w:rsidP="00256B01">
            <w:pPr>
              <w:shd w:val="clear" w:color="auto" w:fill="auto"/>
            </w:pPr>
            <w:r w:rsidRPr="00256B01">
              <w:rPr>
                <w:lang w:val="hu-HU"/>
              </w:rPr>
              <w:t>a vit</w:t>
            </w:r>
            <w:r>
              <w:rPr>
                <w:lang w:val="hu-HU"/>
              </w:rPr>
              <w:t xml:space="preserve">ának a </w:t>
            </w:r>
            <w:r w:rsidRPr="00256B01">
              <w:rPr>
                <w:lang w:val="hu-HU"/>
              </w:rPr>
              <w:t xml:space="preserve"> </w:t>
            </w:r>
            <w:r>
              <w:rPr>
                <w:lang w:val="hu-HU"/>
              </w:rPr>
              <w:t>N</w:t>
            </w:r>
            <w:r w:rsidRPr="00256B01">
              <w:rPr>
                <w:lang w:val="hu-HU"/>
              </w:rPr>
              <w:t xml:space="preserve">emzetközi </w:t>
            </w:r>
            <w:r>
              <w:rPr>
                <w:lang w:val="hu-HU"/>
              </w:rPr>
              <w:t>B</w:t>
            </w:r>
            <w:r w:rsidRPr="00256B01">
              <w:rPr>
                <w:lang w:val="hu-HU"/>
              </w:rPr>
              <w:t>íróság</w:t>
            </w:r>
          </w:p>
        </w:tc>
      </w:tr>
      <w:tr w:rsidR="00256B01" w:rsidTr="00256B01">
        <w:tc>
          <w:tcPr>
            <w:tcW w:w="3020" w:type="dxa"/>
          </w:tcPr>
          <w:p w:rsidR="00256B01" w:rsidRDefault="00256B01" w:rsidP="00256B01">
            <w:pPr>
              <w:shd w:val="clear" w:color="auto" w:fill="auto"/>
            </w:pPr>
            <w:r>
              <w:t>104</w:t>
            </w:r>
          </w:p>
        </w:tc>
        <w:tc>
          <w:tcPr>
            <w:tcW w:w="3021" w:type="dxa"/>
          </w:tcPr>
          <w:p w:rsidR="00256B01" w:rsidRDefault="00256B01" w:rsidP="00256B01">
            <w:pPr>
              <w:shd w:val="clear" w:color="auto" w:fill="auto"/>
            </w:pPr>
          </w:p>
        </w:tc>
        <w:tc>
          <w:tcPr>
            <w:tcW w:w="3021" w:type="dxa"/>
          </w:tcPr>
          <w:p w:rsidR="00256B01" w:rsidRDefault="00256B01" w:rsidP="00256B01">
            <w:pPr>
              <w:shd w:val="clear" w:color="auto" w:fill="auto"/>
            </w:pPr>
            <w:r>
              <w:t>/cím alatti harmadik sorban a “mivel”-ben az i előtt van egy fél szóköz/</w:t>
            </w:r>
          </w:p>
        </w:tc>
      </w:tr>
      <w:tr w:rsidR="00256B01" w:rsidTr="00256B01">
        <w:tc>
          <w:tcPr>
            <w:tcW w:w="3020" w:type="dxa"/>
          </w:tcPr>
          <w:p w:rsidR="00256B01" w:rsidRDefault="00256B01" w:rsidP="00256B01">
            <w:pPr>
              <w:shd w:val="clear" w:color="auto" w:fill="auto"/>
            </w:pPr>
            <w:r>
              <w:t>104 , 5. lbj</w:t>
            </w:r>
          </w:p>
        </w:tc>
        <w:tc>
          <w:tcPr>
            <w:tcW w:w="3021" w:type="dxa"/>
          </w:tcPr>
          <w:p w:rsidR="00256B01" w:rsidRDefault="00256B01" w:rsidP="00256B01">
            <w:pPr>
              <w:shd w:val="clear" w:color="auto" w:fill="auto"/>
            </w:pPr>
            <w:r w:rsidRPr="00256B01">
              <w:rPr>
                <w:lang w:val="hu-HU"/>
              </w:rPr>
              <w:t>Budapest, 1997.; Deets, Stephen,</w:t>
            </w:r>
          </w:p>
        </w:tc>
        <w:tc>
          <w:tcPr>
            <w:tcW w:w="3021" w:type="dxa"/>
          </w:tcPr>
          <w:p w:rsidR="00256B01" w:rsidRDefault="00256B01" w:rsidP="00256B01">
            <w:pPr>
              <w:shd w:val="clear" w:color="auto" w:fill="auto"/>
            </w:pPr>
            <w:r w:rsidRPr="00256B01">
              <w:rPr>
                <w:lang w:val="hu-HU"/>
              </w:rPr>
              <w:t xml:space="preserve">Budapest, 1997.; </w:t>
            </w:r>
            <w:r>
              <w:rPr>
                <w:lang w:val="hu-HU"/>
              </w:rPr>
              <w:t xml:space="preserve">A patthelyzet megértéséhez ld.: </w:t>
            </w:r>
            <w:r w:rsidRPr="00256B01">
              <w:rPr>
                <w:lang w:val="hu-HU"/>
              </w:rPr>
              <w:t>Deets, Stephen,</w:t>
            </w:r>
          </w:p>
        </w:tc>
      </w:tr>
      <w:tr w:rsidR="00256B01" w:rsidTr="00256B01">
        <w:tc>
          <w:tcPr>
            <w:tcW w:w="3020" w:type="dxa"/>
          </w:tcPr>
          <w:p w:rsidR="00256B01" w:rsidRDefault="00256B01" w:rsidP="00256B01">
            <w:pPr>
              <w:shd w:val="clear" w:color="auto" w:fill="auto"/>
            </w:pPr>
            <w:r>
              <w:t>110</w:t>
            </w:r>
          </w:p>
        </w:tc>
        <w:tc>
          <w:tcPr>
            <w:tcW w:w="3021" w:type="dxa"/>
          </w:tcPr>
          <w:p w:rsidR="00256B01" w:rsidRDefault="00256B01" w:rsidP="00256B01">
            <w:pPr>
              <w:shd w:val="clear" w:color="auto" w:fill="auto"/>
            </w:pPr>
            <w:r>
              <w:t>nem kormányzati</w:t>
            </w:r>
          </w:p>
        </w:tc>
        <w:tc>
          <w:tcPr>
            <w:tcW w:w="3021" w:type="dxa"/>
          </w:tcPr>
          <w:p w:rsidR="00256B01" w:rsidRDefault="00256B01" w:rsidP="00256B01">
            <w:pPr>
              <w:shd w:val="clear" w:color="auto" w:fill="auto"/>
            </w:pPr>
            <w:r w:rsidRPr="00256B01">
              <w:t>ne</w:t>
            </w:r>
            <w:r>
              <w:t>m-</w:t>
            </w:r>
            <w:bookmarkStart w:id="0" w:name="_GoBack"/>
            <w:bookmarkEnd w:id="0"/>
            <w:r w:rsidRPr="00256B01">
              <w:t xml:space="preserve"> kormányzati</w:t>
            </w:r>
          </w:p>
        </w:tc>
      </w:tr>
      <w:tr w:rsidR="00256B01" w:rsidTr="00256B01">
        <w:tc>
          <w:tcPr>
            <w:tcW w:w="3020" w:type="dxa"/>
          </w:tcPr>
          <w:p w:rsidR="00256B01" w:rsidRDefault="00256B01" w:rsidP="00256B01">
            <w:pPr>
              <w:shd w:val="clear" w:color="auto" w:fill="auto"/>
            </w:pPr>
          </w:p>
        </w:tc>
        <w:tc>
          <w:tcPr>
            <w:tcW w:w="3021" w:type="dxa"/>
          </w:tcPr>
          <w:p w:rsidR="00256B01" w:rsidRDefault="00256B01" w:rsidP="00256B01">
            <w:pPr>
              <w:shd w:val="clear" w:color="auto" w:fill="auto"/>
            </w:pPr>
          </w:p>
        </w:tc>
        <w:tc>
          <w:tcPr>
            <w:tcW w:w="3021" w:type="dxa"/>
          </w:tcPr>
          <w:p w:rsidR="00256B01" w:rsidRDefault="00256B01" w:rsidP="00256B01">
            <w:pPr>
              <w:shd w:val="clear" w:color="auto" w:fill="auto"/>
            </w:pPr>
          </w:p>
        </w:tc>
      </w:tr>
    </w:tbl>
    <w:p w:rsidR="00256B01" w:rsidRDefault="00256B01" w:rsidP="00256B01"/>
    <w:sectPr w:rsidR="002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19D" w:rsidRDefault="001E119D" w:rsidP="00256B01">
      <w:r>
        <w:separator/>
      </w:r>
    </w:p>
  </w:endnote>
  <w:endnote w:type="continuationSeparator" w:id="0">
    <w:p w:rsidR="001E119D" w:rsidRDefault="001E119D" w:rsidP="0025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19D" w:rsidRDefault="001E119D" w:rsidP="00256B01">
      <w:r>
        <w:separator/>
      </w:r>
    </w:p>
  </w:footnote>
  <w:footnote w:type="continuationSeparator" w:id="0">
    <w:p w:rsidR="001E119D" w:rsidRDefault="001E119D" w:rsidP="00256B01">
      <w:r>
        <w:continuationSeparator/>
      </w:r>
    </w:p>
  </w:footnote>
  <w:footnote w:id="1">
    <w:p w:rsidR="00256B01" w:rsidRPr="00256B01" w:rsidRDefault="00256B0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256B01">
        <w:t>szerzői javítás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01"/>
    <w:rsid w:val="00150C22"/>
    <w:rsid w:val="00171078"/>
    <w:rsid w:val="001E119D"/>
    <w:rsid w:val="00256B01"/>
    <w:rsid w:val="00637736"/>
    <w:rsid w:val="0083170C"/>
    <w:rsid w:val="008420AA"/>
    <w:rsid w:val="008950C1"/>
    <w:rsid w:val="00A9763B"/>
    <w:rsid w:val="00BE6531"/>
    <w:rsid w:val="00DB55B1"/>
    <w:rsid w:val="00E31362"/>
    <w:rsid w:val="00E85D73"/>
    <w:rsid w:val="00FB5E83"/>
    <w:rsid w:val="00F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ED3A"/>
  <w15:chartTrackingRefBased/>
  <w15:docId w15:val="{4CFD57E8-92AE-4F30-9CA3-8FCCD194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763B"/>
    <w:pPr>
      <w:shd w:val="solid" w:color="FFFFFF" w:fill="auto"/>
      <w:spacing w:after="0" w:line="240" w:lineRule="auto"/>
    </w:pPr>
    <w:rPr>
      <w:rFonts w:cs="Times New Roman"/>
      <w:color w:val="000000"/>
      <w:sz w:val="24"/>
      <w:szCs w:val="24"/>
      <w:shd w:val="solid" w:color="FFFFFF" w:fill="auto"/>
      <w:lang w:val="en-GB" w:eastAsia="ru-R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83170C"/>
    <w:pPr>
      <w:keepNext/>
      <w:keepLines/>
      <w:spacing w:before="40"/>
      <w:jc w:val="center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83170C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Normál B"/>
    <w:basedOn w:val="Norml"/>
    <w:uiPriority w:val="99"/>
    <w:rsid w:val="00FB5E83"/>
    <w:rPr>
      <w:rFonts w:eastAsia="SimSun"/>
      <w:lang w:val="en-US" w:eastAsia="zh-CN"/>
    </w:rPr>
  </w:style>
  <w:style w:type="character" w:customStyle="1" w:styleId="Cmsor2Char">
    <w:name w:val="Címsor 2 Char"/>
    <w:basedOn w:val="Bekezdsalapbettpusa"/>
    <w:link w:val="Cmsor2"/>
    <w:uiPriority w:val="9"/>
    <w:rsid w:val="0083170C"/>
    <w:rPr>
      <w:rFonts w:eastAsiaTheme="majorEastAsia" w:cstheme="majorBidi"/>
      <w:color w:val="2F5496" w:themeColor="accent1" w:themeShade="BF"/>
      <w:sz w:val="26"/>
      <w:szCs w:val="26"/>
      <w:shd w:val="solid" w:color="FFFFFF" w:fill="auto"/>
      <w:lang w:val="ru-RU" w:eastAsia="ru-RU"/>
    </w:rPr>
  </w:style>
  <w:style w:type="character" w:customStyle="1" w:styleId="Cmsor3Char">
    <w:name w:val="Címsor 3 Char"/>
    <w:basedOn w:val="Bekezdsalapbettpusa"/>
    <w:link w:val="Cmsor3"/>
    <w:uiPriority w:val="9"/>
    <w:rsid w:val="0083170C"/>
    <w:rPr>
      <w:rFonts w:eastAsiaTheme="majorEastAsia" w:cstheme="majorBidi"/>
      <w:color w:val="1F3763" w:themeColor="accent1" w:themeShade="7F"/>
      <w:sz w:val="24"/>
      <w:szCs w:val="24"/>
      <w:shd w:val="solid" w:color="FFFFFF" w:fill="auto"/>
      <w:lang w:val="ru-RU" w:eastAsia="ru-RU"/>
    </w:rPr>
  </w:style>
  <w:style w:type="table" w:styleId="Rcsostblzat">
    <w:name w:val="Table Grid"/>
    <w:basedOn w:val="Normltblzat"/>
    <w:uiPriority w:val="39"/>
    <w:rsid w:val="0025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B0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B01"/>
    <w:rPr>
      <w:rFonts w:cs="Times New Roman"/>
      <w:color w:val="000000"/>
      <w:sz w:val="20"/>
      <w:szCs w:val="20"/>
      <w:shd w:val="solid" w:color="FFFFFF" w:fill="auto"/>
      <w:lang w:val="en-GB" w:eastAsia="ru-RU"/>
    </w:rPr>
  </w:style>
  <w:style w:type="character" w:styleId="Lbjegyzet-hivatkozs">
    <w:name w:val="footnote reference"/>
    <w:basedOn w:val="Bekezdsalapbettpusa"/>
    <w:uiPriority w:val="99"/>
    <w:semiHidden/>
    <w:unhideWhenUsed/>
    <w:rsid w:val="00256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ADD9-B0FF-4C2B-BECC-A3F90941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Boldizsár Nagy</dc:creator>
  <cp:keywords/>
  <dc:description/>
  <cp:lastModifiedBy>Boldizsár Nagy</cp:lastModifiedBy>
  <cp:revision>1</cp:revision>
  <dcterms:created xsi:type="dcterms:W3CDTF">2019-10-17T12:57:00Z</dcterms:created>
  <dcterms:modified xsi:type="dcterms:W3CDTF">2019-10-17T13:05:00Z</dcterms:modified>
</cp:coreProperties>
</file>